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sz w:val="28"/>
          <w:szCs w:val="28"/>
        </w:rPr>
      </w:pPr>
      <w:bookmarkStart w:id="0" w:name="_GoBack"/>
      <w:bookmarkEnd w:id="0"/>
    </w:p>
    <w:p>
      <w:pPr>
        <w:jc w:val="center"/>
        <w:rPr>
          <w:b/>
          <w:sz w:val="28"/>
          <w:szCs w:val="28"/>
        </w:rPr>
      </w:pPr>
    </w:p>
    <w:p>
      <w:pPr>
        <w:jc w:val="center"/>
        <w:rPr>
          <w:b/>
          <w:sz w:val="28"/>
          <w:szCs w:val="28"/>
        </w:rPr>
      </w:pPr>
    </w:p>
    <w:p>
      <w:pPr>
        <w:jc w:val="center"/>
        <w:rPr>
          <w:b/>
          <w:sz w:val="28"/>
          <w:szCs w:val="28"/>
        </w:rPr>
      </w:pPr>
      <w:r>
        <w:rPr>
          <w:b/>
          <w:sz w:val="28"/>
          <w:szCs w:val="28"/>
        </w:rPr>
        <w:t xml:space="preserve">KENT COUNTY COUNCIL </w:t>
      </w:r>
    </w:p>
    <w:p>
      <w:pPr>
        <w:jc w:val="center"/>
        <w:rPr>
          <w:b/>
        </w:rPr>
      </w:pPr>
    </w:p>
    <w:p>
      <w:pPr>
        <w:jc w:val="center"/>
        <w:rPr>
          <w:b/>
          <w:sz w:val="28"/>
          <w:szCs w:val="28"/>
        </w:rPr>
      </w:pPr>
      <w:r>
        <w:rPr>
          <w:b/>
          <w:sz w:val="28"/>
          <w:szCs w:val="28"/>
        </w:rPr>
        <w:t>EQUALITY IMPACT ASSESSMENT</w:t>
      </w:r>
    </w:p>
    <w:p>
      <w:pPr>
        <w:jc w:val="center"/>
        <w:rPr>
          <w:b/>
          <w:sz w:val="28"/>
          <w:szCs w:val="28"/>
        </w:rPr>
      </w:pPr>
    </w:p>
    <w:p>
      <w:pPr>
        <w:rPr>
          <w:i/>
        </w:rPr>
      </w:pPr>
    </w:p>
    <w:p>
      <w:pPr>
        <w:rPr>
          <w:b/>
        </w:rPr>
      </w:pPr>
      <w:r>
        <w:rPr>
          <w:b/>
        </w:rPr>
        <w:t>Directorate:</w:t>
      </w:r>
    </w:p>
    <w:p/>
    <w:p>
      <w:pPr>
        <w:rPr>
          <w:i/>
        </w:rPr>
      </w:pPr>
      <w:r>
        <w:rPr>
          <w:i/>
        </w:rPr>
        <w:t>Children, Young People and Education</w:t>
      </w:r>
    </w:p>
    <w:p>
      <w:pPr>
        <w:rPr>
          <w:b/>
        </w:rPr>
      </w:pPr>
    </w:p>
    <w:p>
      <w:r>
        <w:rPr>
          <w:b/>
        </w:rPr>
        <w:t>Name of policy, procedure, project or service</w:t>
      </w:r>
    </w:p>
    <w:p>
      <w:pPr>
        <w:rPr>
          <w:i/>
        </w:rPr>
      </w:pPr>
    </w:p>
    <w:p>
      <w:r>
        <w:t>The Judd School, Brook Street, Tonbridge, Kent, TN9 2PN</w:t>
      </w:r>
    </w:p>
    <w:p>
      <w:pPr>
        <w:rPr>
          <w:b/>
        </w:rPr>
      </w:pPr>
    </w:p>
    <w:p>
      <w:r>
        <w:rPr>
          <w:b/>
        </w:rPr>
        <w:t>What is being assessed?</w:t>
      </w:r>
    </w:p>
    <w:p>
      <w:pPr>
        <w:rPr>
          <w:i/>
        </w:rPr>
      </w:pPr>
    </w:p>
    <w:p>
      <w:pPr>
        <w:spacing w:after="120"/>
      </w:pPr>
      <w:r>
        <w:t>Proposal to:</w:t>
      </w:r>
    </w:p>
    <w:p>
      <w:pPr>
        <w:spacing w:after="120"/>
      </w:pPr>
      <w:r>
        <w:rPr>
          <w:rFonts w:cs="Arial"/>
          <w:b/>
        </w:rPr>
        <w:t>establish a Specialist Resource Provision (SRP) within the Judd School for students with an Education, Health and Care Plan (EHCP) for autistic spectrum disorders (ASD).</w:t>
      </w:r>
    </w:p>
    <w:p>
      <w:pPr>
        <w:rPr>
          <w:b/>
        </w:rPr>
      </w:pPr>
    </w:p>
    <w:p>
      <w:pPr>
        <w:rPr>
          <w:b/>
        </w:rPr>
      </w:pPr>
      <w:r>
        <w:rPr>
          <w:b/>
        </w:rPr>
        <w:t>Responsible Owner/ Senior Officer</w:t>
      </w:r>
    </w:p>
    <w:p>
      <w:pPr>
        <w:rPr>
          <w:i/>
        </w:rPr>
      </w:pPr>
    </w:p>
    <w:p>
      <w:pPr>
        <w:rPr>
          <w:i/>
        </w:rPr>
      </w:pPr>
      <w:r>
        <w:rPr>
          <w:i/>
        </w:rPr>
        <w:t>Jared Nehra, Area Education Officer for West Kent</w:t>
      </w:r>
    </w:p>
    <w:p>
      <w:pPr>
        <w:rPr>
          <w:i/>
        </w:rPr>
      </w:pPr>
    </w:p>
    <w:p>
      <w:pPr>
        <w:rPr>
          <w:i/>
        </w:rPr>
      </w:pPr>
    </w:p>
    <w:p>
      <w:pPr>
        <w:rPr>
          <w:b/>
        </w:rPr>
      </w:pPr>
      <w:r>
        <w:rPr>
          <w:b/>
        </w:rPr>
        <w:t>Date of Initial Screening</w:t>
      </w:r>
    </w:p>
    <w:p>
      <w:pPr>
        <w:rPr>
          <w:i/>
        </w:rPr>
      </w:pPr>
    </w:p>
    <w:p>
      <w:pPr>
        <w:rPr>
          <w:i/>
        </w:rPr>
      </w:pPr>
    </w:p>
    <w:p>
      <w:pPr>
        <w:rPr>
          <w:i/>
        </w:rPr>
      </w:pPr>
      <w:r>
        <w:rPr>
          <w:i/>
        </w:rPr>
        <w:t>01 February 2018</w:t>
      </w:r>
    </w:p>
    <w:p>
      <w:pPr>
        <w:rPr>
          <w:i/>
        </w:rPr>
      </w:pPr>
    </w:p>
    <w:p>
      <w:pPr>
        <w:rPr>
          <w:i/>
        </w:rPr>
      </w:pPr>
      <w:r>
        <w:rPr>
          <w:i/>
        </w:rPr>
        <w:t>V1.</w:t>
      </w:r>
    </w:p>
    <w:p>
      <w:pPr>
        <w:rPr>
          <w:i/>
        </w:rPr>
      </w:pPr>
    </w:p>
    <w:p>
      <w:pPr>
        <w:rPr>
          <w:i/>
        </w:rPr>
      </w:pPr>
    </w:p>
    <w:p>
      <w:pPr>
        <w:rPr>
          <w:i/>
        </w:rPr>
      </w:pPr>
    </w:p>
    <w:p>
      <w:pPr>
        <w:rPr>
          <w:i/>
        </w:rPr>
      </w:pPr>
    </w:p>
    <w:p>
      <w:pPr>
        <w:ind w:left="7200"/>
        <w:rPr>
          <w:i/>
        </w:rPr>
        <w:sectPr>
          <w:footerReference w:type="even" r:id="rId8"/>
          <w:footerReference w:type="default" r:id="rId9"/>
          <w:pgSz w:w="11906" w:h="16838" w:code="9"/>
          <w:pgMar w:top="1440" w:right="1019" w:bottom="1440" w:left="1797" w:header="709" w:footer="709" w:gutter="0"/>
          <w:cols w:space="708"/>
          <w:docGrid w:linePitch="360"/>
        </w:sectPr>
      </w:pPr>
      <w:r>
        <w:rPr>
          <w:b/>
          <w:i/>
          <w:noProof/>
          <w:sz w:val="20"/>
          <w:szCs w:val="20"/>
        </w:rPr>
        <w:drawing>
          <wp:inline distT="0" distB="0" distL="0" distR="0">
            <wp:extent cx="1186815" cy="729615"/>
            <wp:effectExtent l="0" t="0" r="0" b="0"/>
            <wp:docPr id="1" name="Picture 1" descr="KCC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815" cy="729615"/>
                    </a:xfrm>
                    <a:prstGeom prst="rect">
                      <a:avLst/>
                    </a:prstGeom>
                    <a:noFill/>
                    <a:ln>
                      <a:noFill/>
                    </a:ln>
                  </pic:spPr>
                </pic:pic>
              </a:graphicData>
            </a:graphic>
          </wp:inline>
        </w:drawing>
      </w:r>
    </w:p>
    <w:p>
      <w:pPr>
        <w:ind w:right="-790"/>
        <w:rPr>
          <w:b/>
        </w:rPr>
      </w:pPr>
      <w:r>
        <w:rPr>
          <w:b/>
        </w:rPr>
        <w:lastRenderedPageBreak/>
        <w:t>Screening Grid</w:t>
      </w:r>
    </w:p>
    <w:p>
      <w:pPr>
        <w:ind w:right="-790"/>
        <w:rPr>
          <w:b/>
        </w:rPr>
      </w:pPr>
    </w:p>
    <w:tbl>
      <w:tblPr>
        <w:tblW w:w="15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4"/>
        <w:gridCol w:w="2753"/>
        <w:gridCol w:w="1011"/>
        <w:gridCol w:w="1130"/>
        <w:gridCol w:w="2258"/>
        <w:gridCol w:w="4706"/>
      </w:tblGrid>
      <w:tr>
        <w:trPr>
          <w:cantSplit/>
          <w:trHeight w:val="2420"/>
        </w:trPr>
        <w:tc>
          <w:tcPr>
            <w:tcW w:w="3564" w:type="dxa"/>
            <w:vMerge w:val="restart"/>
            <w:shd w:val="clear" w:color="auto" w:fill="C0C0C0"/>
            <w:vAlign w:val="center"/>
          </w:tcPr>
          <w:p>
            <w:pPr>
              <w:rPr>
                <w:b/>
                <w:sz w:val="22"/>
                <w:szCs w:val="22"/>
              </w:rPr>
            </w:pPr>
            <w:r>
              <w:rPr>
                <w:b/>
                <w:sz w:val="22"/>
                <w:szCs w:val="22"/>
              </w:rPr>
              <w:t>Characteristic</w:t>
            </w:r>
          </w:p>
        </w:tc>
        <w:tc>
          <w:tcPr>
            <w:tcW w:w="2753" w:type="dxa"/>
            <w:vMerge w:val="restart"/>
            <w:shd w:val="clear" w:color="auto" w:fill="C0C0C0"/>
            <w:vAlign w:val="center"/>
          </w:tcPr>
          <w:p>
            <w:pPr>
              <w:rPr>
                <w:b/>
                <w:sz w:val="22"/>
                <w:szCs w:val="22"/>
              </w:rPr>
            </w:pPr>
            <w:r>
              <w:rPr>
                <w:b/>
                <w:sz w:val="22"/>
                <w:szCs w:val="22"/>
              </w:rPr>
              <w:t>Could this policy, procedure, project or service affect this group less favourably than others in Kent?</w:t>
            </w:r>
          </w:p>
          <w:p>
            <w:pPr>
              <w:rPr>
                <w:b/>
                <w:sz w:val="22"/>
                <w:szCs w:val="22"/>
              </w:rPr>
            </w:pPr>
          </w:p>
          <w:p>
            <w:pPr>
              <w:rPr>
                <w:b/>
                <w:sz w:val="22"/>
                <w:szCs w:val="22"/>
              </w:rPr>
            </w:pPr>
            <w:r>
              <w:rPr>
                <w:b/>
                <w:sz w:val="22"/>
                <w:szCs w:val="22"/>
              </w:rPr>
              <w:t>YES/NO</w:t>
            </w:r>
          </w:p>
          <w:p>
            <w:pPr>
              <w:rPr>
                <w:b/>
                <w:sz w:val="22"/>
                <w:szCs w:val="22"/>
              </w:rPr>
            </w:pPr>
          </w:p>
          <w:p>
            <w:pPr>
              <w:rPr>
                <w:b/>
                <w:sz w:val="22"/>
                <w:szCs w:val="22"/>
              </w:rPr>
            </w:pPr>
            <w:r>
              <w:rPr>
                <w:b/>
                <w:sz w:val="22"/>
                <w:szCs w:val="22"/>
              </w:rPr>
              <w:t>If yes how?</w:t>
            </w:r>
          </w:p>
        </w:tc>
        <w:tc>
          <w:tcPr>
            <w:tcW w:w="2141" w:type="dxa"/>
            <w:gridSpan w:val="2"/>
            <w:tcBorders>
              <w:bottom w:val="single" w:sz="4" w:space="0" w:color="auto"/>
            </w:tcBorders>
            <w:shd w:val="clear" w:color="auto" w:fill="C0C0C0"/>
            <w:vAlign w:val="center"/>
          </w:tcPr>
          <w:p>
            <w:pPr>
              <w:jc w:val="center"/>
              <w:rPr>
                <w:b/>
                <w:sz w:val="22"/>
                <w:szCs w:val="22"/>
              </w:rPr>
            </w:pPr>
            <w:r>
              <w:rPr>
                <w:b/>
                <w:sz w:val="22"/>
                <w:szCs w:val="22"/>
              </w:rPr>
              <w:t>Assessment of potential impact</w:t>
            </w:r>
          </w:p>
          <w:p>
            <w:pPr>
              <w:jc w:val="center"/>
              <w:rPr>
                <w:b/>
                <w:sz w:val="22"/>
                <w:szCs w:val="22"/>
              </w:rPr>
            </w:pPr>
            <w:r>
              <w:rPr>
                <w:b/>
                <w:sz w:val="22"/>
                <w:szCs w:val="22"/>
              </w:rPr>
              <w:t>HIGH/MEDIUM</w:t>
            </w:r>
          </w:p>
          <w:p>
            <w:pPr>
              <w:jc w:val="center"/>
              <w:rPr>
                <w:b/>
                <w:sz w:val="22"/>
                <w:szCs w:val="22"/>
              </w:rPr>
            </w:pPr>
            <w:r>
              <w:rPr>
                <w:b/>
                <w:sz w:val="22"/>
                <w:szCs w:val="22"/>
              </w:rPr>
              <w:t>LOW/NONE</w:t>
            </w:r>
          </w:p>
          <w:p>
            <w:pPr>
              <w:jc w:val="center"/>
              <w:rPr>
                <w:b/>
                <w:sz w:val="22"/>
                <w:szCs w:val="22"/>
              </w:rPr>
            </w:pPr>
            <w:r>
              <w:rPr>
                <w:b/>
                <w:sz w:val="22"/>
                <w:szCs w:val="22"/>
              </w:rPr>
              <w:t>UNKNOWN</w:t>
            </w:r>
          </w:p>
        </w:tc>
        <w:tc>
          <w:tcPr>
            <w:tcW w:w="2258" w:type="dxa"/>
            <w:shd w:val="clear" w:color="auto" w:fill="C0C0C0"/>
            <w:vAlign w:val="center"/>
          </w:tcPr>
          <w:p>
            <w:pPr>
              <w:rPr>
                <w:b/>
                <w:sz w:val="22"/>
                <w:szCs w:val="22"/>
              </w:rPr>
            </w:pPr>
            <w:r>
              <w:rPr>
                <w:b/>
                <w:sz w:val="22"/>
                <w:szCs w:val="22"/>
              </w:rPr>
              <w:t>Provide details:</w:t>
            </w:r>
          </w:p>
          <w:p>
            <w:pPr>
              <w:rPr>
                <w:b/>
                <w:sz w:val="22"/>
                <w:szCs w:val="22"/>
              </w:rPr>
            </w:pPr>
            <w:r>
              <w:rPr>
                <w:b/>
                <w:sz w:val="22"/>
                <w:szCs w:val="22"/>
              </w:rPr>
              <w:t>a) Is internal action required? If yes what?</w:t>
            </w:r>
          </w:p>
          <w:p>
            <w:pPr>
              <w:rPr>
                <w:b/>
                <w:sz w:val="22"/>
                <w:szCs w:val="22"/>
              </w:rPr>
            </w:pPr>
          </w:p>
          <w:p>
            <w:pPr>
              <w:rPr>
                <w:b/>
                <w:sz w:val="22"/>
                <w:szCs w:val="22"/>
              </w:rPr>
            </w:pPr>
            <w:r>
              <w:rPr>
                <w:b/>
                <w:sz w:val="22"/>
                <w:szCs w:val="22"/>
              </w:rPr>
              <w:t>b) Is further assessment required? If yes, why?</w:t>
            </w:r>
          </w:p>
        </w:tc>
        <w:tc>
          <w:tcPr>
            <w:tcW w:w="4706" w:type="dxa"/>
            <w:shd w:val="clear" w:color="auto" w:fill="C0C0C0"/>
            <w:vAlign w:val="center"/>
          </w:tcPr>
          <w:p>
            <w:pPr>
              <w:rPr>
                <w:b/>
                <w:sz w:val="22"/>
                <w:szCs w:val="22"/>
              </w:rPr>
            </w:pPr>
            <w:r>
              <w:rPr>
                <w:b/>
                <w:sz w:val="22"/>
                <w:szCs w:val="22"/>
              </w:rPr>
              <w:t>Could this policy, procedure, project or service promote equal opportunities for this group?</w:t>
            </w:r>
          </w:p>
          <w:p>
            <w:pPr>
              <w:rPr>
                <w:b/>
                <w:sz w:val="22"/>
                <w:szCs w:val="22"/>
              </w:rPr>
            </w:pPr>
          </w:p>
          <w:p>
            <w:pPr>
              <w:rPr>
                <w:b/>
                <w:sz w:val="22"/>
                <w:szCs w:val="22"/>
              </w:rPr>
            </w:pPr>
            <w:r>
              <w:rPr>
                <w:b/>
                <w:sz w:val="22"/>
                <w:szCs w:val="22"/>
              </w:rPr>
              <w:t xml:space="preserve">YES/NO - Explain how good practice can promote equal opportunities  </w:t>
            </w:r>
          </w:p>
        </w:tc>
      </w:tr>
      <w:tr>
        <w:trPr>
          <w:cantSplit/>
          <w:trHeight w:val="337"/>
        </w:trPr>
        <w:tc>
          <w:tcPr>
            <w:tcW w:w="3564" w:type="dxa"/>
            <w:vMerge/>
            <w:shd w:val="clear" w:color="auto" w:fill="C0C0C0"/>
          </w:tcPr>
          <w:p>
            <w:pPr>
              <w:rPr>
                <w:b/>
                <w:sz w:val="22"/>
                <w:szCs w:val="22"/>
              </w:rPr>
            </w:pPr>
          </w:p>
        </w:tc>
        <w:tc>
          <w:tcPr>
            <w:tcW w:w="2753" w:type="dxa"/>
            <w:vMerge/>
            <w:shd w:val="clear" w:color="auto" w:fill="C0C0C0"/>
          </w:tcPr>
          <w:p>
            <w:pPr>
              <w:rPr>
                <w:b/>
                <w:sz w:val="22"/>
                <w:szCs w:val="22"/>
              </w:rPr>
            </w:pPr>
          </w:p>
        </w:tc>
        <w:tc>
          <w:tcPr>
            <w:tcW w:w="1011" w:type="dxa"/>
            <w:shd w:val="clear" w:color="auto" w:fill="C0C0C0"/>
          </w:tcPr>
          <w:p>
            <w:pPr>
              <w:rPr>
                <w:b/>
                <w:sz w:val="20"/>
                <w:szCs w:val="20"/>
              </w:rPr>
            </w:pPr>
            <w:r>
              <w:rPr>
                <w:b/>
                <w:sz w:val="20"/>
                <w:szCs w:val="20"/>
              </w:rPr>
              <w:t>Positive</w:t>
            </w:r>
          </w:p>
        </w:tc>
        <w:tc>
          <w:tcPr>
            <w:tcW w:w="1130" w:type="dxa"/>
            <w:shd w:val="clear" w:color="auto" w:fill="C0C0C0"/>
          </w:tcPr>
          <w:p>
            <w:pPr>
              <w:rPr>
                <w:b/>
                <w:sz w:val="20"/>
                <w:szCs w:val="20"/>
              </w:rPr>
            </w:pPr>
            <w:r>
              <w:rPr>
                <w:b/>
                <w:sz w:val="20"/>
                <w:szCs w:val="20"/>
              </w:rPr>
              <w:t>Negative</w:t>
            </w:r>
          </w:p>
        </w:tc>
        <w:tc>
          <w:tcPr>
            <w:tcW w:w="2258" w:type="dxa"/>
            <w:shd w:val="clear" w:color="auto" w:fill="C0C0C0"/>
          </w:tcPr>
          <w:p>
            <w:pPr>
              <w:rPr>
                <w:b/>
                <w:sz w:val="22"/>
                <w:szCs w:val="22"/>
              </w:rPr>
            </w:pPr>
          </w:p>
        </w:tc>
        <w:tc>
          <w:tcPr>
            <w:tcW w:w="4706" w:type="dxa"/>
            <w:shd w:val="clear" w:color="auto" w:fill="C0C0C0"/>
          </w:tcPr>
          <w:p>
            <w:pPr>
              <w:rPr>
                <w:b/>
                <w:sz w:val="22"/>
                <w:szCs w:val="22"/>
              </w:rPr>
            </w:pPr>
          </w:p>
        </w:tc>
      </w:tr>
      <w:tr>
        <w:trPr>
          <w:trHeight w:val="1195"/>
        </w:trPr>
        <w:tc>
          <w:tcPr>
            <w:tcW w:w="3564" w:type="dxa"/>
            <w:vAlign w:val="center"/>
          </w:tcPr>
          <w:p>
            <w:pPr>
              <w:rPr>
                <w:b/>
                <w:sz w:val="22"/>
                <w:szCs w:val="22"/>
              </w:rPr>
            </w:pPr>
            <w:r>
              <w:rPr>
                <w:b/>
                <w:sz w:val="22"/>
                <w:szCs w:val="22"/>
              </w:rPr>
              <w:t>Age</w:t>
            </w:r>
          </w:p>
        </w:tc>
        <w:tc>
          <w:tcPr>
            <w:tcW w:w="2753" w:type="dxa"/>
            <w:vAlign w:val="center"/>
          </w:tcPr>
          <w:p>
            <w:pPr>
              <w:rPr>
                <w:sz w:val="22"/>
                <w:szCs w:val="22"/>
              </w:rPr>
            </w:pPr>
            <w:r>
              <w:rPr>
                <w:sz w:val="22"/>
                <w:szCs w:val="22"/>
              </w:rPr>
              <w:t>No</w:t>
            </w:r>
          </w:p>
        </w:tc>
        <w:tc>
          <w:tcPr>
            <w:tcW w:w="1011" w:type="dxa"/>
            <w:vAlign w:val="center"/>
          </w:tcPr>
          <w:p>
            <w:pPr>
              <w:jc w:val="center"/>
              <w:rPr>
                <w:sz w:val="22"/>
                <w:szCs w:val="22"/>
              </w:rPr>
            </w:pPr>
            <w:r>
              <w:rPr>
                <w:sz w:val="22"/>
                <w:szCs w:val="22"/>
              </w:rPr>
              <w:t>High</w:t>
            </w:r>
          </w:p>
        </w:tc>
        <w:tc>
          <w:tcPr>
            <w:tcW w:w="1130" w:type="dxa"/>
            <w:vAlign w:val="center"/>
          </w:tcPr>
          <w:p>
            <w:pPr>
              <w:jc w:val="center"/>
              <w:rPr>
                <w:sz w:val="22"/>
                <w:szCs w:val="22"/>
              </w:rPr>
            </w:pPr>
            <w:r>
              <w:rPr>
                <w:sz w:val="22"/>
                <w:szCs w:val="22"/>
              </w:rPr>
              <w:t>None</w:t>
            </w:r>
          </w:p>
        </w:tc>
        <w:tc>
          <w:tcPr>
            <w:tcW w:w="2258" w:type="dxa"/>
            <w:vAlign w:val="center"/>
          </w:tcPr>
          <w:p>
            <w:pPr>
              <w:rPr>
                <w:sz w:val="22"/>
                <w:szCs w:val="22"/>
              </w:rPr>
            </w:pPr>
          </w:p>
        </w:tc>
        <w:tc>
          <w:tcPr>
            <w:tcW w:w="4706" w:type="dxa"/>
            <w:vAlign w:val="center"/>
          </w:tcPr>
          <w:p>
            <w:pPr>
              <w:rPr>
                <w:sz w:val="22"/>
                <w:szCs w:val="22"/>
              </w:rPr>
            </w:pPr>
            <w:r>
              <w:rPr>
                <w:sz w:val="22"/>
                <w:szCs w:val="22"/>
              </w:rPr>
              <w:t xml:space="preserve">Yes.  Positive: as the additional places will mean that more families and children will benefit from additional SEN ASD school places that are needed to meet demand.  </w:t>
            </w:r>
          </w:p>
        </w:tc>
      </w:tr>
      <w:tr>
        <w:trPr>
          <w:trHeight w:val="976"/>
        </w:trPr>
        <w:tc>
          <w:tcPr>
            <w:tcW w:w="3564" w:type="dxa"/>
            <w:vAlign w:val="center"/>
          </w:tcPr>
          <w:p>
            <w:pPr>
              <w:rPr>
                <w:b/>
                <w:sz w:val="22"/>
                <w:szCs w:val="22"/>
              </w:rPr>
            </w:pPr>
            <w:r>
              <w:rPr>
                <w:b/>
                <w:sz w:val="22"/>
                <w:szCs w:val="22"/>
              </w:rPr>
              <w:t>Disability</w:t>
            </w:r>
          </w:p>
        </w:tc>
        <w:tc>
          <w:tcPr>
            <w:tcW w:w="2753" w:type="dxa"/>
            <w:vAlign w:val="center"/>
          </w:tcPr>
          <w:p>
            <w:pPr>
              <w:rPr>
                <w:sz w:val="22"/>
                <w:szCs w:val="22"/>
              </w:rPr>
            </w:pPr>
            <w:r>
              <w:rPr>
                <w:sz w:val="22"/>
                <w:szCs w:val="22"/>
              </w:rPr>
              <w:t>No – The new provision will be compliant with the Equality Act 2010.</w:t>
            </w:r>
          </w:p>
        </w:tc>
        <w:tc>
          <w:tcPr>
            <w:tcW w:w="1011" w:type="dxa"/>
            <w:vAlign w:val="center"/>
          </w:tcPr>
          <w:p>
            <w:pPr>
              <w:jc w:val="center"/>
              <w:rPr>
                <w:sz w:val="22"/>
                <w:szCs w:val="22"/>
              </w:rPr>
            </w:pPr>
            <w:r>
              <w:rPr>
                <w:sz w:val="22"/>
                <w:szCs w:val="22"/>
              </w:rPr>
              <w:t>Medium</w:t>
            </w:r>
          </w:p>
        </w:tc>
        <w:tc>
          <w:tcPr>
            <w:tcW w:w="1130" w:type="dxa"/>
            <w:vAlign w:val="center"/>
          </w:tcPr>
          <w:p>
            <w:pPr>
              <w:jc w:val="center"/>
              <w:rPr>
                <w:sz w:val="22"/>
                <w:szCs w:val="22"/>
              </w:rPr>
            </w:pPr>
            <w:r>
              <w:rPr>
                <w:sz w:val="22"/>
                <w:szCs w:val="22"/>
              </w:rPr>
              <w:t>None</w:t>
            </w:r>
          </w:p>
        </w:tc>
        <w:tc>
          <w:tcPr>
            <w:tcW w:w="2258" w:type="dxa"/>
            <w:vAlign w:val="center"/>
          </w:tcPr>
          <w:p>
            <w:pPr>
              <w:rPr>
                <w:sz w:val="22"/>
                <w:szCs w:val="22"/>
              </w:rPr>
            </w:pPr>
          </w:p>
        </w:tc>
        <w:tc>
          <w:tcPr>
            <w:tcW w:w="4706" w:type="dxa"/>
            <w:vAlign w:val="center"/>
          </w:tcPr>
          <w:p>
            <w:pPr>
              <w:rPr>
                <w:sz w:val="22"/>
                <w:szCs w:val="22"/>
              </w:rPr>
            </w:pPr>
            <w:r>
              <w:rPr>
                <w:sz w:val="22"/>
                <w:szCs w:val="22"/>
              </w:rPr>
              <w:t xml:space="preserve">Yes. The facilities offered will meet the latest requirements for accessibility. </w:t>
            </w:r>
          </w:p>
        </w:tc>
      </w:tr>
      <w:tr>
        <w:trPr>
          <w:trHeight w:val="741"/>
        </w:trPr>
        <w:tc>
          <w:tcPr>
            <w:tcW w:w="3564" w:type="dxa"/>
            <w:vAlign w:val="center"/>
          </w:tcPr>
          <w:p>
            <w:pPr>
              <w:spacing w:before="120" w:after="120"/>
              <w:rPr>
                <w:b/>
                <w:sz w:val="22"/>
                <w:szCs w:val="22"/>
              </w:rPr>
            </w:pPr>
            <w:r>
              <w:rPr>
                <w:b/>
                <w:sz w:val="22"/>
                <w:szCs w:val="22"/>
              </w:rPr>
              <w:t xml:space="preserve">Gender </w:t>
            </w:r>
          </w:p>
        </w:tc>
        <w:tc>
          <w:tcPr>
            <w:tcW w:w="2753" w:type="dxa"/>
            <w:vAlign w:val="center"/>
          </w:tcPr>
          <w:p>
            <w:pPr>
              <w:rPr>
                <w:sz w:val="22"/>
                <w:szCs w:val="22"/>
              </w:rPr>
            </w:pPr>
            <w:r>
              <w:rPr>
                <w:sz w:val="22"/>
                <w:szCs w:val="22"/>
              </w:rPr>
              <w:t>N/A</w:t>
            </w:r>
          </w:p>
        </w:tc>
        <w:tc>
          <w:tcPr>
            <w:tcW w:w="1011" w:type="dxa"/>
            <w:vAlign w:val="center"/>
          </w:tcPr>
          <w:p>
            <w:pPr>
              <w:jc w:val="center"/>
              <w:rPr>
                <w:sz w:val="22"/>
                <w:szCs w:val="22"/>
              </w:rPr>
            </w:pPr>
            <w:r>
              <w:rPr>
                <w:sz w:val="22"/>
                <w:szCs w:val="22"/>
              </w:rPr>
              <w:t>Low</w:t>
            </w:r>
          </w:p>
        </w:tc>
        <w:tc>
          <w:tcPr>
            <w:tcW w:w="1130" w:type="dxa"/>
            <w:vAlign w:val="center"/>
          </w:tcPr>
          <w:p>
            <w:pPr>
              <w:jc w:val="center"/>
              <w:rPr>
                <w:sz w:val="22"/>
                <w:szCs w:val="22"/>
              </w:rPr>
            </w:pPr>
            <w:r>
              <w:rPr>
                <w:sz w:val="22"/>
                <w:szCs w:val="22"/>
              </w:rPr>
              <w:t>None</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The school is for boys aged between 11 and 18 years.</w:t>
            </w:r>
          </w:p>
        </w:tc>
      </w:tr>
      <w:tr>
        <w:trPr>
          <w:trHeight w:val="397"/>
        </w:trPr>
        <w:tc>
          <w:tcPr>
            <w:tcW w:w="3564" w:type="dxa"/>
            <w:vAlign w:val="center"/>
          </w:tcPr>
          <w:p>
            <w:pPr>
              <w:rPr>
                <w:b/>
                <w:sz w:val="22"/>
                <w:szCs w:val="22"/>
              </w:rPr>
            </w:pPr>
            <w:r>
              <w:rPr>
                <w:b/>
                <w:sz w:val="22"/>
                <w:szCs w:val="22"/>
              </w:rPr>
              <w:t>Gender identity</w:t>
            </w:r>
          </w:p>
        </w:tc>
        <w:tc>
          <w:tcPr>
            <w:tcW w:w="2753" w:type="dxa"/>
            <w:vAlign w:val="center"/>
          </w:tcPr>
          <w:p>
            <w:pPr>
              <w:rPr>
                <w:sz w:val="22"/>
                <w:szCs w:val="22"/>
              </w:rPr>
            </w:pPr>
            <w:r>
              <w:rPr>
                <w:sz w:val="22"/>
                <w:szCs w:val="22"/>
              </w:rPr>
              <w:t>N/A</w:t>
            </w:r>
          </w:p>
        </w:tc>
        <w:tc>
          <w:tcPr>
            <w:tcW w:w="1011" w:type="dxa"/>
            <w:vAlign w:val="center"/>
          </w:tcPr>
          <w:p>
            <w:pPr>
              <w:jc w:val="center"/>
              <w:rPr>
                <w:sz w:val="22"/>
                <w:szCs w:val="22"/>
              </w:rPr>
            </w:pPr>
            <w:r>
              <w:rPr>
                <w:sz w:val="22"/>
                <w:szCs w:val="22"/>
              </w:rPr>
              <w:t>N/A</w:t>
            </w:r>
          </w:p>
        </w:tc>
        <w:tc>
          <w:tcPr>
            <w:tcW w:w="1130" w:type="dxa"/>
            <w:vAlign w:val="center"/>
          </w:tcPr>
          <w:p>
            <w:pPr>
              <w:jc w:val="center"/>
              <w:rPr>
                <w:sz w:val="22"/>
                <w:szCs w:val="22"/>
              </w:rPr>
            </w:pPr>
            <w:r>
              <w:rPr>
                <w:sz w:val="22"/>
                <w:szCs w:val="22"/>
              </w:rPr>
              <w:t>N/A</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N/A</w:t>
            </w:r>
          </w:p>
        </w:tc>
      </w:tr>
      <w:tr>
        <w:trPr>
          <w:trHeight w:val="397"/>
        </w:trPr>
        <w:tc>
          <w:tcPr>
            <w:tcW w:w="3564" w:type="dxa"/>
            <w:vAlign w:val="center"/>
          </w:tcPr>
          <w:p>
            <w:pPr>
              <w:rPr>
                <w:b/>
                <w:sz w:val="22"/>
                <w:szCs w:val="22"/>
              </w:rPr>
            </w:pPr>
            <w:r>
              <w:rPr>
                <w:b/>
                <w:sz w:val="22"/>
                <w:szCs w:val="22"/>
              </w:rPr>
              <w:t>Race</w:t>
            </w:r>
          </w:p>
        </w:tc>
        <w:tc>
          <w:tcPr>
            <w:tcW w:w="2753" w:type="dxa"/>
            <w:vAlign w:val="center"/>
          </w:tcPr>
          <w:p>
            <w:pPr>
              <w:rPr>
                <w:sz w:val="22"/>
                <w:szCs w:val="22"/>
              </w:rPr>
            </w:pPr>
            <w:r>
              <w:rPr>
                <w:sz w:val="22"/>
                <w:szCs w:val="22"/>
              </w:rPr>
              <w:t>No</w:t>
            </w:r>
          </w:p>
        </w:tc>
        <w:tc>
          <w:tcPr>
            <w:tcW w:w="1011" w:type="dxa"/>
            <w:vAlign w:val="center"/>
          </w:tcPr>
          <w:p>
            <w:pPr>
              <w:jc w:val="center"/>
              <w:rPr>
                <w:sz w:val="22"/>
                <w:szCs w:val="22"/>
              </w:rPr>
            </w:pPr>
            <w:r>
              <w:rPr>
                <w:sz w:val="22"/>
                <w:szCs w:val="22"/>
              </w:rPr>
              <w:t>N/A</w:t>
            </w:r>
          </w:p>
        </w:tc>
        <w:tc>
          <w:tcPr>
            <w:tcW w:w="1130" w:type="dxa"/>
            <w:vAlign w:val="center"/>
          </w:tcPr>
          <w:p>
            <w:pPr>
              <w:jc w:val="center"/>
              <w:rPr>
                <w:sz w:val="22"/>
                <w:szCs w:val="22"/>
              </w:rPr>
            </w:pPr>
            <w:r>
              <w:rPr>
                <w:sz w:val="22"/>
                <w:szCs w:val="22"/>
              </w:rPr>
              <w:t>None</w:t>
            </w:r>
          </w:p>
        </w:tc>
        <w:tc>
          <w:tcPr>
            <w:tcW w:w="2258" w:type="dxa"/>
            <w:vAlign w:val="center"/>
          </w:tcPr>
          <w:p>
            <w:pPr>
              <w:rPr>
                <w:sz w:val="22"/>
                <w:szCs w:val="22"/>
              </w:rPr>
            </w:pPr>
          </w:p>
        </w:tc>
        <w:tc>
          <w:tcPr>
            <w:tcW w:w="4706" w:type="dxa"/>
            <w:vAlign w:val="center"/>
          </w:tcPr>
          <w:p>
            <w:pPr>
              <w:rPr>
                <w:sz w:val="22"/>
                <w:szCs w:val="22"/>
              </w:rPr>
            </w:pPr>
            <w:r>
              <w:rPr>
                <w:sz w:val="22"/>
                <w:szCs w:val="22"/>
              </w:rPr>
              <w:t xml:space="preserve">N/A  </w:t>
            </w:r>
          </w:p>
        </w:tc>
      </w:tr>
      <w:tr>
        <w:trPr>
          <w:trHeight w:val="886"/>
        </w:trPr>
        <w:tc>
          <w:tcPr>
            <w:tcW w:w="3564" w:type="dxa"/>
            <w:vAlign w:val="center"/>
          </w:tcPr>
          <w:p>
            <w:pPr>
              <w:rPr>
                <w:b/>
                <w:sz w:val="22"/>
                <w:szCs w:val="22"/>
              </w:rPr>
            </w:pPr>
            <w:r>
              <w:rPr>
                <w:b/>
                <w:sz w:val="22"/>
                <w:szCs w:val="22"/>
              </w:rPr>
              <w:t>Religion or belief</w:t>
            </w:r>
          </w:p>
        </w:tc>
        <w:tc>
          <w:tcPr>
            <w:tcW w:w="2753" w:type="dxa"/>
            <w:vAlign w:val="center"/>
          </w:tcPr>
          <w:p>
            <w:pPr>
              <w:rPr>
                <w:sz w:val="22"/>
                <w:szCs w:val="22"/>
              </w:rPr>
            </w:pPr>
            <w:r>
              <w:rPr>
                <w:sz w:val="22"/>
                <w:szCs w:val="22"/>
              </w:rPr>
              <w:t>No. The school will welcome children of faith or no faith.</w:t>
            </w:r>
          </w:p>
        </w:tc>
        <w:tc>
          <w:tcPr>
            <w:tcW w:w="1011" w:type="dxa"/>
            <w:vAlign w:val="center"/>
          </w:tcPr>
          <w:p>
            <w:pPr>
              <w:jc w:val="center"/>
              <w:rPr>
                <w:sz w:val="22"/>
                <w:szCs w:val="22"/>
              </w:rPr>
            </w:pPr>
            <w:r>
              <w:rPr>
                <w:sz w:val="22"/>
                <w:szCs w:val="22"/>
              </w:rPr>
              <w:t>Low</w:t>
            </w:r>
          </w:p>
        </w:tc>
        <w:tc>
          <w:tcPr>
            <w:tcW w:w="1130" w:type="dxa"/>
            <w:vAlign w:val="center"/>
          </w:tcPr>
          <w:p>
            <w:pPr>
              <w:jc w:val="center"/>
              <w:rPr>
                <w:sz w:val="22"/>
                <w:szCs w:val="22"/>
              </w:rPr>
            </w:pPr>
            <w:r>
              <w:rPr>
                <w:sz w:val="22"/>
                <w:szCs w:val="22"/>
              </w:rPr>
              <w:t>None</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Yes. The school curriculum covers all religions.</w:t>
            </w:r>
          </w:p>
        </w:tc>
      </w:tr>
      <w:tr>
        <w:trPr>
          <w:trHeight w:val="397"/>
        </w:trPr>
        <w:tc>
          <w:tcPr>
            <w:tcW w:w="3564" w:type="dxa"/>
            <w:vAlign w:val="center"/>
          </w:tcPr>
          <w:p>
            <w:pPr>
              <w:rPr>
                <w:b/>
                <w:sz w:val="22"/>
                <w:szCs w:val="22"/>
              </w:rPr>
            </w:pPr>
            <w:r>
              <w:rPr>
                <w:b/>
                <w:sz w:val="22"/>
                <w:szCs w:val="22"/>
              </w:rPr>
              <w:t>Sexual orientation</w:t>
            </w:r>
          </w:p>
        </w:tc>
        <w:tc>
          <w:tcPr>
            <w:tcW w:w="2753" w:type="dxa"/>
            <w:vAlign w:val="center"/>
          </w:tcPr>
          <w:p>
            <w:pPr>
              <w:rPr>
                <w:sz w:val="22"/>
                <w:szCs w:val="22"/>
              </w:rPr>
            </w:pPr>
            <w:r>
              <w:rPr>
                <w:sz w:val="22"/>
                <w:szCs w:val="22"/>
              </w:rPr>
              <w:t>N/A</w:t>
            </w:r>
          </w:p>
        </w:tc>
        <w:tc>
          <w:tcPr>
            <w:tcW w:w="1011" w:type="dxa"/>
            <w:vAlign w:val="center"/>
          </w:tcPr>
          <w:p>
            <w:pPr>
              <w:jc w:val="center"/>
              <w:rPr>
                <w:sz w:val="22"/>
                <w:szCs w:val="22"/>
              </w:rPr>
            </w:pPr>
            <w:r>
              <w:rPr>
                <w:sz w:val="22"/>
                <w:szCs w:val="22"/>
              </w:rPr>
              <w:t>N/A</w:t>
            </w:r>
          </w:p>
        </w:tc>
        <w:tc>
          <w:tcPr>
            <w:tcW w:w="1130" w:type="dxa"/>
            <w:vAlign w:val="center"/>
          </w:tcPr>
          <w:p>
            <w:pPr>
              <w:jc w:val="center"/>
              <w:rPr>
                <w:sz w:val="22"/>
                <w:szCs w:val="22"/>
              </w:rPr>
            </w:pPr>
            <w:r>
              <w:rPr>
                <w:sz w:val="22"/>
                <w:szCs w:val="22"/>
              </w:rPr>
              <w:t>N/A</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N/A</w:t>
            </w:r>
          </w:p>
        </w:tc>
      </w:tr>
      <w:tr>
        <w:trPr>
          <w:trHeight w:val="397"/>
        </w:trPr>
        <w:tc>
          <w:tcPr>
            <w:tcW w:w="3564" w:type="dxa"/>
            <w:vAlign w:val="center"/>
          </w:tcPr>
          <w:p>
            <w:pPr>
              <w:rPr>
                <w:b/>
                <w:sz w:val="22"/>
                <w:szCs w:val="22"/>
              </w:rPr>
            </w:pPr>
            <w:r>
              <w:rPr>
                <w:b/>
                <w:sz w:val="22"/>
                <w:szCs w:val="22"/>
              </w:rPr>
              <w:t>Pregnancy and maternity</w:t>
            </w:r>
          </w:p>
        </w:tc>
        <w:tc>
          <w:tcPr>
            <w:tcW w:w="2753" w:type="dxa"/>
            <w:vAlign w:val="center"/>
          </w:tcPr>
          <w:p>
            <w:pPr>
              <w:rPr>
                <w:sz w:val="22"/>
                <w:szCs w:val="22"/>
              </w:rPr>
            </w:pPr>
            <w:r>
              <w:rPr>
                <w:sz w:val="22"/>
                <w:szCs w:val="22"/>
              </w:rPr>
              <w:t>N/A</w:t>
            </w:r>
          </w:p>
        </w:tc>
        <w:tc>
          <w:tcPr>
            <w:tcW w:w="1011" w:type="dxa"/>
            <w:vAlign w:val="center"/>
          </w:tcPr>
          <w:p>
            <w:pPr>
              <w:jc w:val="center"/>
              <w:rPr>
                <w:sz w:val="22"/>
                <w:szCs w:val="22"/>
              </w:rPr>
            </w:pPr>
            <w:r>
              <w:rPr>
                <w:sz w:val="22"/>
                <w:szCs w:val="22"/>
              </w:rPr>
              <w:t>N/A</w:t>
            </w:r>
          </w:p>
        </w:tc>
        <w:tc>
          <w:tcPr>
            <w:tcW w:w="1130" w:type="dxa"/>
            <w:vAlign w:val="center"/>
          </w:tcPr>
          <w:p>
            <w:pPr>
              <w:jc w:val="center"/>
              <w:rPr>
                <w:sz w:val="22"/>
                <w:szCs w:val="22"/>
              </w:rPr>
            </w:pPr>
            <w:r>
              <w:rPr>
                <w:sz w:val="22"/>
                <w:szCs w:val="22"/>
              </w:rPr>
              <w:t>N/A</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N/A</w:t>
            </w:r>
          </w:p>
        </w:tc>
      </w:tr>
      <w:tr>
        <w:trPr>
          <w:trHeight w:val="397"/>
        </w:trPr>
        <w:tc>
          <w:tcPr>
            <w:tcW w:w="3564" w:type="dxa"/>
            <w:vAlign w:val="center"/>
          </w:tcPr>
          <w:p>
            <w:pPr>
              <w:rPr>
                <w:b/>
                <w:sz w:val="22"/>
                <w:szCs w:val="22"/>
              </w:rPr>
            </w:pPr>
            <w:r>
              <w:rPr>
                <w:b/>
                <w:sz w:val="22"/>
                <w:szCs w:val="22"/>
              </w:rPr>
              <w:t>Marriage and Civil Partnerships</w:t>
            </w:r>
          </w:p>
        </w:tc>
        <w:tc>
          <w:tcPr>
            <w:tcW w:w="2753" w:type="dxa"/>
            <w:vAlign w:val="center"/>
          </w:tcPr>
          <w:p>
            <w:pPr>
              <w:rPr>
                <w:sz w:val="22"/>
                <w:szCs w:val="22"/>
              </w:rPr>
            </w:pPr>
            <w:r>
              <w:rPr>
                <w:sz w:val="22"/>
                <w:szCs w:val="22"/>
              </w:rPr>
              <w:t>N/A</w:t>
            </w:r>
          </w:p>
        </w:tc>
        <w:tc>
          <w:tcPr>
            <w:tcW w:w="1011" w:type="dxa"/>
            <w:vAlign w:val="center"/>
          </w:tcPr>
          <w:p>
            <w:pPr>
              <w:jc w:val="center"/>
              <w:rPr>
                <w:sz w:val="22"/>
                <w:szCs w:val="22"/>
              </w:rPr>
            </w:pPr>
            <w:r>
              <w:rPr>
                <w:sz w:val="22"/>
                <w:szCs w:val="22"/>
              </w:rPr>
              <w:t>N/A</w:t>
            </w:r>
          </w:p>
        </w:tc>
        <w:tc>
          <w:tcPr>
            <w:tcW w:w="1130" w:type="dxa"/>
            <w:vAlign w:val="center"/>
          </w:tcPr>
          <w:p>
            <w:pPr>
              <w:jc w:val="center"/>
              <w:rPr>
                <w:sz w:val="22"/>
                <w:szCs w:val="22"/>
              </w:rPr>
            </w:pPr>
            <w:r>
              <w:rPr>
                <w:sz w:val="22"/>
                <w:szCs w:val="22"/>
              </w:rPr>
              <w:t>N/A</w:t>
            </w:r>
          </w:p>
        </w:tc>
        <w:tc>
          <w:tcPr>
            <w:tcW w:w="2258" w:type="dxa"/>
            <w:vAlign w:val="center"/>
          </w:tcPr>
          <w:p>
            <w:pPr>
              <w:rPr>
                <w:sz w:val="22"/>
                <w:szCs w:val="22"/>
              </w:rPr>
            </w:pPr>
            <w:r>
              <w:rPr>
                <w:sz w:val="22"/>
                <w:szCs w:val="22"/>
              </w:rPr>
              <w:t>N/A</w:t>
            </w:r>
          </w:p>
        </w:tc>
        <w:tc>
          <w:tcPr>
            <w:tcW w:w="4706" w:type="dxa"/>
            <w:vAlign w:val="center"/>
          </w:tcPr>
          <w:p>
            <w:pPr>
              <w:rPr>
                <w:sz w:val="22"/>
                <w:szCs w:val="22"/>
              </w:rPr>
            </w:pPr>
            <w:r>
              <w:rPr>
                <w:sz w:val="22"/>
                <w:szCs w:val="22"/>
              </w:rPr>
              <w:t>N/A</w:t>
            </w:r>
          </w:p>
        </w:tc>
      </w:tr>
    </w:tbl>
    <w:p>
      <w:pPr>
        <w:jc w:val="right"/>
        <w:rPr>
          <w:b/>
        </w:rPr>
        <w:sectPr>
          <w:pgSz w:w="16838" w:h="11906" w:orient="landscape" w:code="9"/>
          <w:pgMar w:top="1079" w:right="1440" w:bottom="1438" w:left="798" w:header="709" w:footer="709" w:gutter="0"/>
          <w:cols w:space="708"/>
          <w:docGrid w:linePitch="360"/>
        </w:sectPr>
      </w:pPr>
    </w:p>
    <w:p>
      <w:pPr>
        <w:spacing w:after="120"/>
        <w:ind w:left="-142"/>
        <w:rPr>
          <w:b/>
        </w:rPr>
      </w:pPr>
      <w:r>
        <w:rPr>
          <w:b/>
        </w:rPr>
        <w:lastRenderedPageBreak/>
        <w:t xml:space="preserve">Part 1: INITIAL SCREENING </w:t>
      </w:r>
    </w:p>
    <w:p>
      <w:pPr>
        <w:spacing w:after="120"/>
        <w:ind w:left="-142" w:right="187"/>
        <w:jc w:val="both"/>
        <w:rPr>
          <w:b/>
        </w:rPr>
      </w:pPr>
      <w:r>
        <w:rPr>
          <w:rFonts w:cs="Arial"/>
          <w:b/>
          <w:color w:val="000000"/>
        </w:rPr>
        <w:t>Proportionality</w:t>
      </w:r>
      <w:r>
        <w:rPr>
          <w:rFonts w:cs="Arial"/>
          <w:color w:val="000000"/>
          <w:sz w:val="23"/>
          <w:szCs w:val="23"/>
        </w:rPr>
        <w:t xml:space="preserve"> - Based on the answers in the above screening grid what weighting would you ascribe to this function – </w:t>
      </w:r>
      <w:r>
        <w:rPr>
          <w:rFonts w:cs="Arial"/>
          <w:b/>
          <w:color w:val="000000"/>
          <w:sz w:val="23"/>
          <w:szCs w:val="23"/>
        </w:rPr>
        <w:t>LOW</w:t>
      </w:r>
    </w:p>
    <w:tbl>
      <w:tblPr>
        <w:tblpPr w:leftFromText="180" w:rightFromText="180" w:vertAnchor="page" w:horzAnchor="margin" w:tblpY="2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693"/>
      </w:tblGrid>
      <w:tr>
        <w:tc>
          <w:tcPr>
            <w:tcW w:w="3085" w:type="dxa"/>
            <w:shd w:val="clear" w:color="auto" w:fill="auto"/>
          </w:tcPr>
          <w:p>
            <w:pPr>
              <w:rPr>
                <w:b/>
              </w:rPr>
            </w:pPr>
            <w:r>
              <w:rPr>
                <w:b/>
                <w:highlight w:val="green"/>
              </w:rPr>
              <w:t>Low</w:t>
            </w:r>
          </w:p>
        </w:tc>
        <w:tc>
          <w:tcPr>
            <w:tcW w:w="3119" w:type="dxa"/>
            <w:shd w:val="clear" w:color="auto" w:fill="auto"/>
          </w:tcPr>
          <w:p>
            <w:pPr>
              <w:rPr>
                <w:b/>
              </w:rPr>
            </w:pPr>
            <w:r>
              <w:rPr>
                <w:b/>
                <w:highlight w:val="yellow"/>
              </w:rPr>
              <w:t>Medium</w:t>
            </w:r>
          </w:p>
        </w:tc>
        <w:tc>
          <w:tcPr>
            <w:tcW w:w="2693" w:type="dxa"/>
            <w:shd w:val="clear" w:color="auto" w:fill="auto"/>
          </w:tcPr>
          <w:p>
            <w:pPr>
              <w:rPr>
                <w:b/>
              </w:rPr>
            </w:pPr>
            <w:r>
              <w:rPr>
                <w:b/>
                <w:highlight w:val="red"/>
              </w:rPr>
              <w:t>High</w:t>
            </w:r>
          </w:p>
        </w:tc>
      </w:tr>
      <w:tr>
        <w:tc>
          <w:tcPr>
            <w:tcW w:w="3085" w:type="dxa"/>
            <w:shd w:val="clear" w:color="auto" w:fill="auto"/>
          </w:tcPr>
          <w:p>
            <w:pPr>
              <w:pStyle w:val="Default"/>
              <w:rPr>
                <w:sz w:val="23"/>
                <w:szCs w:val="23"/>
              </w:rPr>
            </w:pPr>
            <w:r>
              <w:rPr>
                <w:sz w:val="23"/>
                <w:szCs w:val="23"/>
              </w:rPr>
              <w:t xml:space="preserve">Low relevance or Insufficient information/evidence to make a judgement. </w:t>
            </w:r>
          </w:p>
          <w:p>
            <w:pPr>
              <w:rPr>
                <w:b/>
                <w:color w:val="FF0000"/>
              </w:rPr>
            </w:pPr>
          </w:p>
        </w:tc>
        <w:tc>
          <w:tcPr>
            <w:tcW w:w="3119" w:type="dxa"/>
            <w:shd w:val="clear" w:color="auto" w:fill="auto"/>
          </w:tcPr>
          <w:p>
            <w:pPr>
              <w:pStyle w:val="Default"/>
              <w:rPr>
                <w:sz w:val="23"/>
                <w:szCs w:val="23"/>
              </w:rPr>
            </w:pPr>
            <w:r>
              <w:rPr>
                <w:sz w:val="23"/>
                <w:szCs w:val="23"/>
              </w:rPr>
              <w:t xml:space="preserve">Medium relevance or Insufficient information/evidence to make a Judgement. </w:t>
            </w:r>
          </w:p>
          <w:p>
            <w:pPr>
              <w:rPr>
                <w:b/>
                <w:color w:val="FF0000"/>
              </w:rPr>
            </w:pPr>
          </w:p>
        </w:tc>
        <w:tc>
          <w:tcPr>
            <w:tcW w:w="2693" w:type="dxa"/>
            <w:shd w:val="clear" w:color="auto" w:fill="auto"/>
          </w:tcPr>
          <w:p>
            <w:pPr>
              <w:pStyle w:val="Default"/>
              <w:rPr>
                <w:sz w:val="23"/>
                <w:szCs w:val="23"/>
              </w:rPr>
            </w:pPr>
            <w:r>
              <w:rPr>
                <w:sz w:val="23"/>
                <w:szCs w:val="23"/>
              </w:rPr>
              <w:t xml:space="preserve">High relevance to equality, /likely to have adverse impact on protected groups </w:t>
            </w:r>
          </w:p>
          <w:p>
            <w:pPr>
              <w:rPr>
                <w:b/>
                <w:color w:val="FF0000"/>
              </w:rPr>
            </w:pPr>
          </w:p>
        </w:tc>
      </w:tr>
    </w:tbl>
    <w:p>
      <w:pPr>
        <w:rPr>
          <w:b/>
        </w:rPr>
      </w:pPr>
    </w:p>
    <w:p>
      <w:pPr>
        <w:ind w:right="329"/>
        <w:rPr>
          <w:b/>
        </w:rPr>
      </w:pPr>
    </w:p>
    <w:p>
      <w:pPr>
        <w:ind w:right="329"/>
        <w:rPr>
          <w:b/>
        </w:rPr>
      </w:pPr>
    </w:p>
    <w:p>
      <w:pPr>
        <w:ind w:right="329"/>
        <w:rPr>
          <w:b/>
        </w:rPr>
      </w:pPr>
    </w:p>
    <w:p>
      <w:pPr>
        <w:ind w:right="329"/>
        <w:rPr>
          <w:b/>
        </w:rPr>
      </w:pPr>
    </w:p>
    <w:p>
      <w:pPr>
        <w:ind w:right="329"/>
        <w:rPr>
          <w:b/>
        </w:rPr>
      </w:pPr>
    </w:p>
    <w:p>
      <w:pPr>
        <w:ind w:right="329"/>
        <w:rPr>
          <w:b/>
        </w:rPr>
      </w:pPr>
    </w:p>
    <w:p>
      <w:pPr>
        <w:ind w:right="329"/>
        <w:rPr>
          <w:b/>
        </w:rPr>
      </w:pPr>
    </w:p>
    <w:p>
      <w:pPr>
        <w:ind w:right="329"/>
        <w:rPr>
          <w:b/>
        </w:rPr>
      </w:pPr>
    </w:p>
    <w:p>
      <w:pPr>
        <w:autoSpaceDE w:val="0"/>
        <w:autoSpaceDN w:val="0"/>
        <w:adjustRightInd w:val="0"/>
        <w:jc w:val="both"/>
        <w:rPr>
          <w:rFonts w:cs="Arial"/>
          <w:b/>
        </w:rPr>
      </w:pPr>
      <w:r>
        <w:rPr>
          <w:rFonts w:cs="Arial"/>
          <w:b/>
        </w:rPr>
        <w:t>Context</w:t>
      </w:r>
    </w:p>
    <w:p>
      <w:pPr>
        <w:ind w:right="329"/>
        <w:jc w:val="both"/>
        <w:rPr>
          <w:highlight w:val="yellow"/>
        </w:rPr>
      </w:pPr>
    </w:p>
    <w:p>
      <w:pPr>
        <w:jc w:val="both"/>
      </w:pPr>
      <w:r>
        <w:t xml:space="preserve">KCC want to build upon the existing provision of the school by establishing a Specialist Resource Provision (SRP) within the school for students with an Education, Health and Care Plan (EHCP) for autistic spectrum disorders (ASD). </w:t>
      </w:r>
    </w:p>
    <w:p>
      <w:pPr>
        <w:jc w:val="both"/>
        <w:rPr>
          <w:highlight w:val="yellow"/>
        </w:rPr>
      </w:pPr>
    </w:p>
    <w:p>
      <w:pPr>
        <w:ind w:right="329"/>
        <w:jc w:val="both"/>
      </w:pPr>
      <w:r>
        <w:t>KCC as the Local Authority has a statutory duty to ensure sufficient school places are available. The County Council’s Commissioning Plan for Education Provision in Kent 2018-22 is a five-year rolling plan, which is updated annually. It sets out our future plans as Strategic Commissioner of Education Provision across all types and phases of education in Kent. A copy of the plan can be viewed from this link:</w:t>
      </w:r>
    </w:p>
    <w:p>
      <w:pPr>
        <w:autoSpaceDE w:val="0"/>
        <w:autoSpaceDN w:val="0"/>
        <w:adjustRightInd w:val="0"/>
        <w:rPr>
          <w:rFonts w:ascii="ArialMT" w:hAnsi="ArialMT" w:cs="ArialMT"/>
          <w:b/>
          <w:bCs/>
          <w:color w:val="0000FF"/>
        </w:rPr>
      </w:pPr>
      <w:hyperlink r:id="rId11" w:history="1">
        <w:r>
          <w:rPr>
            <w:rStyle w:val="Hyperlink"/>
            <w:sz w:val="22"/>
            <w:szCs w:val="22"/>
          </w:rPr>
          <w:t>http://www.kent.gov.uk/__data/assets/pdf_file/0003/66990/Kent-Commissioning-Plan-for-Education-Provision-2018-22.pdf</w:t>
        </w:r>
      </w:hyperlink>
    </w:p>
    <w:p>
      <w:pPr>
        <w:ind w:right="329"/>
        <w:rPr>
          <w:b/>
        </w:rPr>
      </w:pPr>
    </w:p>
    <w:p>
      <w:pPr>
        <w:jc w:val="both"/>
        <w:rPr>
          <w:rFonts w:cs="Arial"/>
        </w:rPr>
      </w:pPr>
      <w:r>
        <w:rPr>
          <w:bCs/>
        </w:rPr>
        <w:t xml:space="preserve">This proposal will also help to secure our ambition “to ensure that Kent’s young people have access to the education, work and skills opportunities necessary to support Kent business to grow and be increasingly competitive in the national and international economy” as set out in ‘Increasing Opportunities, Improving Outcomes: Kent County Council’s Strategic Statement (2015-2020).    A </w:t>
      </w:r>
      <w:r>
        <w:rPr>
          <w:rFonts w:cs="Arial"/>
        </w:rPr>
        <w:t xml:space="preserve">copy of the document can be viewed from this link:  </w:t>
      </w:r>
    </w:p>
    <w:p>
      <w:pPr>
        <w:rPr>
          <w:rStyle w:val="Hyperlink"/>
          <w:rFonts w:cs="Arial"/>
        </w:rPr>
      </w:pPr>
      <w:hyperlink r:id="rId12" w:history="1">
        <w:r>
          <w:rPr>
            <w:rStyle w:val="Hyperlink"/>
            <w:rFonts w:cs="Arial"/>
          </w:rPr>
          <w:t>http://www.kent.gov.uk/about-the-council/strategies-and-policies/corporate-policies/increasing-opportunities-improving-outcomes</w:t>
        </w:r>
      </w:hyperlink>
      <w:r>
        <w:rPr>
          <w:rStyle w:val="Hyperlink"/>
          <w:rFonts w:cs="Arial"/>
        </w:rPr>
        <w:t xml:space="preserve">  </w:t>
      </w:r>
    </w:p>
    <w:p>
      <w:pPr>
        <w:ind w:right="329"/>
        <w:rPr>
          <w:b/>
        </w:rPr>
      </w:pPr>
    </w:p>
    <w:p>
      <w:pPr>
        <w:ind w:right="329"/>
        <w:rPr>
          <w:b/>
        </w:rPr>
      </w:pPr>
      <w:r>
        <w:rPr>
          <w:b/>
        </w:rPr>
        <w:t>Aims and Objectives</w:t>
      </w:r>
    </w:p>
    <w:p>
      <w:pPr>
        <w:spacing w:after="40"/>
        <w:ind w:right="329"/>
        <w:rPr>
          <w:b/>
        </w:rPr>
      </w:pPr>
      <w:r>
        <w:t>The project will provide:</w:t>
      </w:r>
    </w:p>
    <w:p>
      <w:pPr>
        <w:numPr>
          <w:ilvl w:val="0"/>
          <w:numId w:val="23"/>
        </w:numPr>
      </w:pPr>
      <w:r>
        <w:t xml:space="preserve">Additional SEN Selective Secondary aged places - expanding incrementally from September 2019 to September 2025.  </w:t>
      </w:r>
    </w:p>
    <w:p>
      <w:pPr>
        <w:ind w:left="851" w:right="329" w:hanging="425"/>
        <w:jc w:val="both"/>
      </w:pPr>
    </w:p>
    <w:p>
      <w:pPr>
        <w:spacing w:after="60"/>
        <w:rPr>
          <w:b/>
        </w:rPr>
      </w:pPr>
      <w:r>
        <w:rPr>
          <w:b/>
        </w:rPr>
        <w:t>Background documents are:</w:t>
      </w:r>
    </w:p>
    <w:p>
      <w:pPr>
        <w:numPr>
          <w:ilvl w:val="0"/>
          <w:numId w:val="23"/>
        </w:numPr>
      </w:pPr>
      <w:r>
        <w:t>Kent’s Commissioning Plan for Education Provision 2018-22</w:t>
      </w:r>
    </w:p>
    <w:p>
      <w:pPr>
        <w:numPr>
          <w:ilvl w:val="0"/>
          <w:numId w:val="23"/>
        </w:numPr>
      </w:pPr>
      <w:r>
        <w:t>Increasing Opportunities, Improving Outcomes: Kent County Council’s Strategic Statement (2015-2020) Policy Framework</w:t>
      </w:r>
    </w:p>
    <w:p>
      <w:pPr>
        <w:ind w:left="1080"/>
        <w:rPr>
          <w:b/>
        </w:rPr>
      </w:pPr>
    </w:p>
    <w:p>
      <w:pPr>
        <w:spacing w:after="60"/>
        <w:rPr>
          <w:b/>
        </w:rPr>
      </w:pPr>
      <w:r>
        <w:rPr>
          <w:b/>
        </w:rPr>
        <w:t>Beneficiaries</w:t>
      </w:r>
    </w:p>
    <w:p>
      <w:pPr>
        <w:numPr>
          <w:ilvl w:val="0"/>
          <w:numId w:val="23"/>
        </w:numPr>
      </w:pPr>
      <w:r>
        <w:t xml:space="preserve">Pupils within the locality </w:t>
      </w:r>
    </w:p>
    <w:p>
      <w:pPr>
        <w:numPr>
          <w:ilvl w:val="0"/>
          <w:numId w:val="23"/>
        </w:numPr>
        <w:rPr>
          <w:b/>
        </w:rPr>
      </w:pPr>
      <w:r>
        <w:t>The Local Authority</w:t>
      </w:r>
    </w:p>
    <w:p>
      <w:pPr>
        <w:numPr>
          <w:ilvl w:val="0"/>
          <w:numId w:val="23"/>
        </w:numPr>
        <w:rPr>
          <w:b/>
        </w:rPr>
      </w:pPr>
      <w:r>
        <w:t>The Judd School</w:t>
      </w:r>
    </w:p>
    <w:p>
      <w:pPr>
        <w:rPr>
          <w:b/>
        </w:rPr>
      </w:pPr>
    </w:p>
    <w:p>
      <w:pPr>
        <w:rPr>
          <w:b/>
        </w:rPr>
      </w:pPr>
      <w:r>
        <w:rPr>
          <w:b/>
        </w:rPr>
        <w:br w:type="page"/>
      </w:r>
      <w:r>
        <w:rPr>
          <w:b/>
        </w:rPr>
        <w:lastRenderedPageBreak/>
        <w:t>Consultation and data</w:t>
      </w:r>
    </w:p>
    <w:p>
      <w:pPr>
        <w:rPr>
          <w:b/>
        </w:rPr>
      </w:pPr>
    </w:p>
    <w:p>
      <w:pPr>
        <w:spacing w:after="40"/>
      </w:pPr>
      <w:r>
        <w:rPr>
          <w:u w:val="single"/>
        </w:rPr>
        <w:t>The Judd School:</w:t>
      </w:r>
    </w:p>
    <w:p>
      <w:pPr>
        <w:numPr>
          <w:ilvl w:val="0"/>
          <w:numId w:val="23"/>
        </w:numPr>
      </w:pPr>
      <w:r>
        <w:t>1.3% of the children are eligible for free school meals, which is below the Kent and National averages of 12.2% and 14.7% respectively.</w:t>
      </w:r>
    </w:p>
    <w:p>
      <w:pPr>
        <w:numPr>
          <w:ilvl w:val="0"/>
          <w:numId w:val="23"/>
        </w:numPr>
      </w:pPr>
      <w:r>
        <w:t>The proportion of pupils who have special educational needs or disability is below the Kent and national averages.</w:t>
      </w:r>
    </w:p>
    <w:p>
      <w:pPr>
        <w:numPr>
          <w:ilvl w:val="0"/>
          <w:numId w:val="23"/>
        </w:numPr>
      </w:pPr>
      <w:r>
        <w:t>The majority of the pupils speak English as their first language; however, the school has 9.5% of pupils with English as an additional language (EAL).</w:t>
      </w:r>
    </w:p>
    <w:p/>
    <w:p>
      <w:pPr>
        <w:spacing w:after="120"/>
        <w:rPr>
          <w:u w:val="single"/>
        </w:rPr>
      </w:pPr>
      <w:r>
        <w:rPr>
          <w:u w:val="single"/>
        </w:rPr>
        <w:t>Information from Autumn 2017 Schools’ Census and January 2017 SEN Census:</w:t>
      </w:r>
    </w:p>
    <w:tbl>
      <w:tblPr>
        <w:tblpPr w:leftFromText="180" w:rightFromText="180" w:vertAnchor="text"/>
        <w:tblW w:w="7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889"/>
        <w:gridCol w:w="1014"/>
        <w:gridCol w:w="1015"/>
        <w:gridCol w:w="1097"/>
      </w:tblGrid>
      <w:tr>
        <w:trPr>
          <w:trHeight w:val="529"/>
        </w:trPr>
        <w:tc>
          <w:tcPr>
            <w:tcW w:w="3960" w:type="dxa"/>
            <w:shd w:val="clear" w:color="auto" w:fill="FFC000"/>
            <w:tcMar>
              <w:top w:w="0" w:type="dxa"/>
              <w:left w:w="108" w:type="dxa"/>
              <w:bottom w:w="0" w:type="dxa"/>
              <w:right w:w="108" w:type="dxa"/>
            </w:tcMar>
          </w:tcPr>
          <w:p>
            <w:pPr>
              <w:rPr>
                <w:rFonts w:ascii="Calibri" w:eastAsia="Calibri" w:hAnsi="Calibri"/>
                <w:sz w:val="22"/>
                <w:szCs w:val="22"/>
                <w:lang w:eastAsia="en-US"/>
              </w:rPr>
            </w:pPr>
          </w:p>
        </w:tc>
        <w:tc>
          <w:tcPr>
            <w:tcW w:w="889" w:type="dxa"/>
            <w:shd w:val="clear" w:color="auto" w:fill="FFC000"/>
            <w:tcMar>
              <w:top w:w="0" w:type="dxa"/>
              <w:left w:w="108" w:type="dxa"/>
              <w:bottom w:w="0" w:type="dxa"/>
              <w:right w:w="108" w:type="dxa"/>
            </w:tcMar>
            <w:hideMark/>
          </w:tcPr>
          <w:p>
            <w:pPr>
              <w:jc w:val="center"/>
              <w:rPr>
                <w:sz w:val="22"/>
                <w:szCs w:val="22"/>
              </w:rPr>
            </w:pPr>
            <w:r>
              <w:rPr>
                <w:sz w:val="22"/>
                <w:szCs w:val="22"/>
              </w:rPr>
              <w:t>School</w:t>
            </w:r>
          </w:p>
          <w:p>
            <w:pPr>
              <w:jc w:val="center"/>
              <w:rPr>
                <w:rFonts w:ascii="Calibri" w:eastAsia="Calibri" w:hAnsi="Calibri"/>
                <w:sz w:val="22"/>
                <w:szCs w:val="22"/>
                <w:lang w:eastAsia="en-US"/>
              </w:rPr>
            </w:pPr>
            <w:r>
              <w:rPr>
                <w:sz w:val="22"/>
                <w:szCs w:val="22"/>
              </w:rPr>
              <w:t>Nos.</w:t>
            </w:r>
          </w:p>
        </w:tc>
        <w:tc>
          <w:tcPr>
            <w:tcW w:w="1014" w:type="dxa"/>
            <w:shd w:val="clear" w:color="auto" w:fill="FFC000"/>
          </w:tcPr>
          <w:p>
            <w:pPr>
              <w:jc w:val="center"/>
              <w:rPr>
                <w:sz w:val="22"/>
                <w:szCs w:val="22"/>
              </w:rPr>
            </w:pPr>
            <w:r>
              <w:rPr>
                <w:sz w:val="22"/>
                <w:szCs w:val="22"/>
              </w:rPr>
              <w:t>School</w:t>
            </w:r>
          </w:p>
          <w:p>
            <w:pPr>
              <w:jc w:val="center"/>
              <w:rPr>
                <w:sz w:val="22"/>
                <w:szCs w:val="22"/>
              </w:rPr>
            </w:pPr>
            <w:r>
              <w:rPr>
                <w:sz w:val="22"/>
                <w:szCs w:val="22"/>
              </w:rPr>
              <w:t>%</w:t>
            </w:r>
          </w:p>
        </w:tc>
        <w:tc>
          <w:tcPr>
            <w:tcW w:w="1015" w:type="dxa"/>
            <w:shd w:val="clear" w:color="auto" w:fill="FFC000"/>
            <w:tcMar>
              <w:top w:w="0" w:type="dxa"/>
              <w:left w:w="108" w:type="dxa"/>
              <w:bottom w:w="0" w:type="dxa"/>
              <w:right w:w="108" w:type="dxa"/>
            </w:tcMar>
            <w:hideMark/>
          </w:tcPr>
          <w:p>
            <w:pPr>
              <w:jc w:val="center"/>
              <w:rPr>
                <w:sz w:val="22"/>
                <w:szCs w:val="22"/>
              </w:rPr>
            </w:pPr>
            <w:r>
              <w:rPr>
                <w:sz w:val="22"/>
                <w:szCs w:val="22"/>
              </w:rPr>
              <w:t>Kent</w:t>
            </w:r>
          </w:p>
          <w:p>
            <w:pPr>
              <w:jc w:val="center"/>
              <w:rPr>
                <w:rFonts w:ascii="Calibri" w:eastAsia="Calibri" w:hAnsi="Calibri"/>
                <w:sz w:val="22"/>
                <w:szCs w:val="22"/>
                <w:lang w:eastAsia="en-US"/>
              </w:rPr>
            </w:pPr>
            <w:r>
              <w:rPr>
                <w:sz w:val="22"/>
                <w:szCs w:val="22"/>
              </w:rPr>
              <w:t>%</w:t>
            </w:r>
          </w:p>
        </w:tc>
        <w:tc>
          <w:tcPr>
            <w:tcW w:w="1097" w:type="dxa"/>
            <w:shd w:val="clear" w:color="auto" w:fill="FFC000"/>
            <w:tcMar>
              <w:top w:w="0" w:type="dxa"/>
              <w:left w:w="108" w:type="dxa"/>
              <w:bottom w:w="0" w:type="dxa"/>
              <w:right w:w="108" w:type="dxa"/>
            </w:tcMar>
            <w:hideMark/>
          </w:tcPr>
          <w:p>
            <w:pPr>
              <w:jc w:val="center"/>
              <w:rPr>
                <w:sz w:val="22"/>
                <w:szCs w:val="22"/>
              </w:rPr>
            </w:pPr>
            <w:r>
              <w:rPr>
                <w:sz w:val="22"/>
                <w:szCs w:val="22"/>
              </w:rPr>
              <w:t>National</w:t>
            </w:r>
          </w:p>
          <w:p>
            <w:pPr>
              <w:jc w:val="center"/>
              <w:rPr>
                <w:rFonts w:ascii="Calibri" w:eastAsia="Calibri" w:hAnsi="Calibri"/>
                <w:sz w:val="22"/>
                <w:szCs w:val="22"/>
                <w:lang w:eastAsia="en-US"/>
              </w:rPr>
            </w:pPr>
            <w:r>
              <w:rPr>
                <w:sz w:val="22"/>
                <w:szCs w:val="22"/>
              </w:rPr>
              <w:t>%</w:t>
            </w:r>
          </w:p>
        </w:tc>
      </w:tr>
      <w:tr>
        <w:tc>
          <w:tcPr>
            <w:tcW w:w="3960" w:type="dxa"/>
            <w:tcMar>
              <w:top w:w="0" w:type="dxa"/>
              <w:left w:w="108" w:type="dxa"/>
              <w:bottom w:w="0" w:type="dxa"/>
              <w:right w:w="108" w:type="dxa"/>
            </w:tcMar>
            <w:hideMark/>
          </w:tcPr>
          <w:p>
            <w:pPr>
              <w:rPr>
                <w:rFonts w:ascii="Calibri" w:eastAsia="Calibri" w:hAnsi="Calibri"/>
                <w:sz w:val="22"/>
                <w:szCs w:val="22"/>
                <w:lang w:eastAsia="en-US"/>
              </w:rPr>
            </w:pPr>
            <w:r>
              <w:rPr>
                <w:sz w:val="22"/>
                <w:szCs w:val="22"/>
              </w:rPr>
              <w:t>Eligible for Free School Meals</w:t>
            </w:r>
          </w:p>
        </w:tc>
        <w:tc>
          <w:tcPr>
            <w:tcW w:w="889" w:type="dxa"/>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15</w:t>
            </w:r>
          </w:p>
        </w:tc>
        <w:tc>
          <w:tcPr>
            <w:tcW w:w="1014" w:type="dxa"/>
            <w:shd w:val="clear" w:color="auto" w:fill="auto"/>
          </w:tcPr>
          <w:p>
            <w:pPr>
              <w:jc w:val="center"/>
              <w:rPr>
                <w:sz w:val="22"/>
                <w:szCs w:val="22"/>
              </w:rPr>
            </w:pPr>
            <w:r>
              <w:rPr>
                <w:sz w:val="22"/>
                <w:szCs w:val="22"/>
              </w:rPr>
              <w:t>1.3</w:t>
            </w:r>
          </w:p>
        </w:tc>
        <w:tc>
          <w:tcPr>
            <w:tcW w:w="1015"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12.2</w:t>
            </w:r>
          </w:p>
        </w:tc>
        <w:tc>
          <w:tcPr>
            <w:tcW w:w="1097"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14.7</w:t>
            </w:r>
          </w:p>
        </w:tc>
      </w:tr>
      <w:tr>
        <w:tc>
          <w:tcPr>
            <w:tcW w:w="3960" w:type="dxa"/>
            <w:tcMar>
              <w:top w:w="0" w:type="dxa"/>
              <w:left w:w="108" w:type="dxa"/>
              <w:bottom w:w="0" w:type="dxa"/>
              <w:right w:w="108" w:type="dxa"/>
            </w:tcMar>
            <w:hideMark/>
          </w:tcPr>
          <w:p>
            <w:pPr>
              <w:rPr>
                <w:rFonts w:ascii="Calibri" w:eastAsia="Calibri" w:hAnsi="Calibri"/>
                <w:sz w:val="22"/>
                <w:szCs w:val="22"/>
                <w:lang w:eastAsia="en-US"/>
              </w:rPr>
            </w:pPr>
            <w:r>
              <w:rPr>
                <w:sz w:val="22"/>
                <w:szCs w:val="22"/>
              </w:rPr>
              <w:t>SEN with EHCPs</w:t>
            </w:r>
          </w:p>
        </w:tc>
        <w:tc>
          <w:tcPr>
            <w:tcW w:w="889" w:type="dxa"/>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w:t>
            </w:r>
          </w:p>
        </w:tc>
        <w:tc>
          <w:tcPr>
            <w:tcW w:w="1014" w:type="dxa"/>
            <w:shd w:val="clear" w:color="auto" w:fill="auto"/>
          </w:tcPr>
          <w:p>
            <w:pPr>
              <w:jc w:val="center"/>
              <w:rPr>
                <w:sz w:val="22"/>
                <w:szCs w:val="22"/>
              </w:rPr>
            </w:pPr>
            <w:r>
              <w:rPr>
                <w:sz w:val="22"/>
                <w:szCs w:val="22"/>
              </w:rPr>
              <w:t>**</w:t>
            </w:r>
          </w:p>
        </w:tc>
        <w:tc>
          <w:tcPr>
            <w:tcW w:w="1015"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3.0*</w:t>
            </w:r>
          </w:p>
        </w:tc>
        <w:tc>
          <w:tcPr>
            <w:tcW w:w="1097"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2.8*</w:t>
            </w:r>
          </w:p>
        </w:tc>
      </w:tr>
      <w:tr>
        <w:tc>
          <w:tcPr>
            <w:tcW w:w="3960" w:type="dxa"/>
            <w:tcMar>
              <w:top w:w="0" w:type="dxa"/>
              <w:left w:w="108" w:type="dxa"/>
              <w:bottom w:w="0" w:type="dxa"/>
              <w:right w:w="108" w:type="dxa"/>
            </w:tcMar>
            <w:hideMark/>
          </w:tcPr>
          <w:p>
            <w:pPr>
              <w:rPr>
                <w:rFonts w:ascii="Calibri" w:eastAsia="Calibri" w:hAnsi="Calibri"/>
                <w:sz w:val="22"/>
                <w:szCs w:val="22"/>
                <w:lang w:eastAsia="en-US"/>
              </w:rPr>
            </w:pPr>
            <w:r>
              <w:rPr>
                <w:sz w:val="22"/>
                <w:szCs w:val="22"/>
              </w:rPr>
              <w:t>SEN without  EHCPs</w:t>
            </w:r>
          </w:p>
        </w:tc>
        <w:tc>
          <w:tcPr>
            <w:tcW w:w="889" w:type="dxa"/>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35</w:t>
            </w:r>
          </w:p>
        </w:tc>
        <w:tc>
          <w:tcPr>
            <w:tcW w:w="1014" w:type="dxa"/>
            <w:shd w:val="clear" w:color="auto" w:fill="auto"/>
          </w:tcPr>
          <w:p>
            <w:pPr>
              <w:jc w:val="center"/>
              <w:rPr>
                <w:sz w:val="22"/>
                <w:szCs w:val="22"/>
              </w:rPr>
            </w:pPr>
            <w:r>
              <w:rPr>
                <w:sz w:val="22"/>
                <w:szCs w:val="22"/>
              </w:rPr>
              <w:t>3</w:t>
            </w:r>
          </w:p>
        </w:tc>
        <w:tc>
          <w:tcPr>
            <w:tcW w:w="1015"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9.3</w:t>
            </w:r>
          </w:p>
        </w:tc>
        <w:tc>
          <w:tcPr>
            <w:tcW w:w="1097" w:type="dxa"/>
            <w:shd w:val="clear" w:color="auto" w:fill="auto"/>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11.6</w:t>
            </w:r>
          </w:p>
        </w:tc>
      </w:tr>
      <w:tr>
        <w:tc>
          <w:tcPr>
            <w:tcW w:w="3960" w:type="dxa"/>
            <w:tcMar>
              <w:top w:w="0" w:type="dxa"/>
              <w:left w:w="108" w:type="dxa"/>
              <w:bottom w:w="0" w:type="dxa"/>
              <w:right w:w="108" w:type="dxa"/>
            </w:tcMar>
            <w:hideMark/>
          </w:tcPr>
          <w:p>
            <w:pPr>
              <w:rPr>
                <w:rFonts w:ascii="Calibri" w:eastAsia="Calibri" w:hAnsi="Calibri"/>
                <w:sz w:val="22"/>
                <w:szCs w:val="22"/>
                <w:lang w:eastAsia="en-US"/>
              </w:rPr>
            </w:pPr>
            <w:r>
              <w:rPr>
                <w:sz w:val="22"/>
                <w:szCs w:val="22"/>
              </w:rPr>
              <w:t>Pupils with EAL</w:t>
            </w:r>
          </w:p>
        </w:tc>
        <w:tc>
          <w:tcPr>
            <w:tcW w:w="889" w:type="dxa"/>
            <w:tcBorders>
              <w:bottom w:val="single" w:sz="4" w:space="0" w:color="auto"/>
            </w:tcBorders>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109</w:t>
            </w:r>
          </w:p>
        </w:tc>
        <w:tc>
          <w:tcPr>
            <w:tcW w:w="1014" w:type="dxa"/>
          </w:tcPr>
          <w:p>
            <w:pPr>
              <w:jc w:val="center"/>
              <w:rPr>
                <w:sz w:val="22"/>
                <w:szCs w:val="22"/>
              </w:rPr>
            </w:pPr>
            <w:r>
              <w:rPr>
                <w:sz w:val="22"/>
                <w:szCs w:val="22"/>
              </w:rPr>
              <w:t>9.5</w:t>
            </w:r>
          </w:p>
        </w:tc>
        <w:tc>
          <w:tcPr>
            <w:tcW w:w="1015" w:type="dxa"/>
            <w:tcBorders>
              <w:bottom w:val="single" w:sz="4" w:space="0" w:color="auto"/>
            </w:tcBorders>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11.7</w:t>
            </w:r>
          </w:p>
        </w:tc>
        <w:tc>
          <w:tcPr>
            <w:tcW w:w="1097" w:type="dxa"/>
            <w:tcBorders>
              <w:bottom w:val="single" w:sz="4" w:space="0" w:color="auto"/>
            </w:tcBorders>
            <w:tcMar>
              <w:top w:w="0" w:type="dxa"/>
              <w:left w:w="108" w:type="dxa"/>
              <w:bottom w:w="0" w:type="dxa"/>
              <w:right w:w="108" w:type="dxa"/>
            </w:tcMar>
          </w:tcPr>
          <w:p>
            <w:pPr>
              <w:jc w:val="center"/>
              <w:rPr>
                <w:rFonts w:eastAsia="Calibri" w:cs="Arial"/>
                <w:sz w:val="22"/>
                <w:szCs w:val="22"/>
                <w:lang w:eastAsia="en-US"/>
              </w:rPr>
            </w:pPr>
            <w:r>
              <w:rPr>
                <w:rFonts w:eastAsia="Calibri" w:cs="Arial"/>
                <w:sz w:val="22"/>
                <w:szCs w:val="22"/>
                <w:lang w:eastAsia="en-US"/>
              </w:rPr>
              <w:t>20.6</w:t>
            </w:r>
          </w:p>
        </w:tc>
      </w:tr>
      <w:tr>
        <w:tc>
          <w:tcPr>
            <w:tcW w:w="3960" w:type="dxa"/>
            <w:tcMar>
              <w:top w:w="0" w:type="dxa"/>
              <w:left w:w="108" w:type="dxa"/>
              <w:bottom w:w="0" w:type="dxa"/>
              <w:right w:w="108" w:type="dxa"/>
            </w:tcMar>
            <w:hideMark/>
          </w:tcPr>
          <w:p>
            <w:pPr>
              <w:rPr>
                <w:rFonts w:ascii="Calibri" w:eastAsia="Calibri" w:hAnsi="Calibri"/>
                <w:sz w:val="22"/>
                <w:szCs w:val="22"/>
                <w:lang w:eastAsia="en-US"/>
              </w:rPr>
            </w:pPr>
            <w:r>
              <w:rPr>
                <w:sz w:val="22"/>
                <w:szCs w:val="22"/>
              </w:rPr>
              <w:t>Ofsted outcome</w:t>
            </w:r>
          </w:p>
        </w:tc>
        <w:tc>
          <w:tcPr>
            <w:tcW w:w="4015" w:type="dxa"/>
            <w:gridSpan w:val="4"/>
            <w:tcMar>
              <w:top w:w="0" w:type="dxa"/>
              <w:left w:w="108" w:type="dxa"/>
              <w:bottom w:w="0" w:type="dxa"/>
              <w:right w:w="108" w:type="dxa"/>
            </w:tcMar>
          </w:tcPr>
          <w:p>
            <w:pPr>
              <w:rPr>
                <w:rFonts w:eastAsia="Calibri" w:cs="Arial"/>
                <w:sz w:val="22"/>
                <w:szCs w:val="22"/>
                <w:lang w:eastAsia="en-US"/>
              </w:rPr>
            </w:pPr>
            <w:r>
              <w:rPr>
                <w:rFonts w:eastAsia="Calibri" w:cs="Arial"/>
                <w:sz w:val="22"/>
                <w:szCs w:val="22"/>
                <w:lang w:eastAsia="en-US"/>
              </w:rPr>
              <w:t>Outstanding (May 2015)</w:t>
            </w:r>
          </w:p>
        </w:tc>
      </w:tr>
    </w:tbl>
    <w:p>
      <w:pPr>
        <w:rPr>
          <w:b/>
        </w:rPr>
      </w:pPr>
    </w:p>
    <w:p>
      <w:pPr>
        <w:rPr>
          <w:b/>
        </w:rPr>
      </w:pPr>
    </w:p>
    <w:p>
      <w:pPr>
        <w:rPr>
          <w:b/>
        </w:rPr>
      </w:pPr>
    </w:p>
    <w:p>
      <w:pPr>
        <w:rPr>
          <w:b/>
        </w:rPr>
      </w:pPr>
    </w:p>
    <w:p>
      <w:pPr>
        <w:rPr>
          <w:b/>
        </w:rPr>
      </w:pPr>
    </w:p>
    <w:p>
      <w:pPr>
        <w:rPr>
          <w:b/>
        </w:rPr>
      </w:pPr>
    </w:p>
    <w:p>
      <w:pPr>
        <w:rPr>
          <w:b/>
        </w:rPr>
      </w:pPr>
    </w:p>
    <w:p>
      <w:pPr>
        <w:rPr>
          <w:b/>
          <w:i/>
          <w:sz w:val="16"/>
          <w:szCs w:val="16"/>
        </w:rPr>
      </w:pPr>
      <w:r>
        <w:rPr>
          <w:b/>
          <w:i/>
          <w:sz w:val="16"/>
          <w:szCs w:val="16"/>
        </w:rPr>
        <w:t>* All schools figure</w:t>
      </w:r>
    </w:p>
    <w:p>
      <w:pPr>
        <w:rPr>
          <w:b/>
          <w:i/>
          <w:sz w:val="16"/>
          <w:szCs w:val="16"/>
        </w:rPr>
      </w:pPr>
      <w:r>
        <w:rPr>
          <w:b/>
          <w:i/>
          <w:sz w:val="16"/>
          <w:szCs w:val="16"/>
        </w:rPr>
        <w:t>** Figure supressed as fewer than 5 pupils</w:t>
      </w:r>
    </w:p>
    <w:p>
      <w:pPr>
        <w:rPr>
          <w:b/>
        </w:rPr>
      </w:pPr>
    </w:p>
    <w:p>
      <w:pPr>
        <w:spacing w:after="120"/>
        <w:rPr>
          <w:u w:val="single"/>
        </w:rPr>
      </w:pPr>
      <w:r>
        <w:rPr>
          <w:u w:val="single"/>
        </w:rPr>
        <w:t>Language Data - KCC Management Information (MI) Autumn 2017:</w:t>
      </w:r>
    </w:p>
    <w:p>
      <w:pPr>
        <w:spacing w:after="120"/>
      </w:pPr>
    </w:p>
    <w:tbl>
      <w:tblPr>
        <w:tblW w:w="7840" w:type="dxa"/>
        <w:tblInd w:w="113" w:type="dxa"/>
        <w:tblLook w:val="04A0" w:firstRow="1" w:lastRow="0" w:firstColumn="1" w:lastColumn="0" w:noHBand="0" w:noVBand="1"/>
      </w:tblPr>
      <w:tblGrid>
        <w:gridCol w:w="960"/>
        <w:gridCol w:w="1120"/>
        <w:gridCol w:w="960"/>
        <w:gridCol w:w="960"/>
        <w:gridCol w:w="960"/>
        <w:gridCol w:w="960"/>
        <w:gridCol w:w="960"/>
        <w:gridCol w:w="960"/>
      </w:tblGrid>
      <w:tr>
        <w:trPr>
          <w:trHeight w:val="1395"/>
        </w:trPr>
        <w:tc>
          <w:tcPr>
            <w:tcW w:w="960" w:type="dxa"/>
            <w:tcBorders>
              <w:top w:val="single" w:sz="4" w:space="0" w:color="auto"/>
              <w:left w:val="single" w:sz="4" w:space="0" w:color="auto"/>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Total Roll Autumn 2017</w:t>
            </w:r>
          </w:p>
        </w:tc>
        <w:tc>
          <w:tcPr>
            <w:tcW w:w="112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Chinese</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English</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French</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Hindi</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Russian</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Tamil</w:t>
            </w:r>
          </w:p>
        </w:tc>
        <w:tc>
          <w:tcPr>
            <w:tcW w:w="9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20"/>
                <w:szCs w:val="20"/>
              </w:rPr>
            </w:pPr>
            <w:r>
              <w:rPr>
                <w:rFonts w:cs="Arial"/>
                <w:color w:val="000000"/>
                <w:sz w:val="20"/>
                <w:szCs w:val="20"/>
              </w:rPr>
              <w:t>Other*</w:t>
            </w:r>
          </w:p>
        </w:tc>
      </w:tr>
      <w:tr>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1149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1040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20"/>
                <w:szCs w:val="20"/>
              </w:rPr>
            </w:pPr>
            <w:r>
              <w:rPr>
                <w:rFonts w:cs="Arial"/>
                <w:color w:val="000000"/>
                <w:sz w:val="20"/>
                <w:szCs w:val="20"/>
              </w:rPr>
              <w:t>65 </w:t>
            </w:r>
          </w:p>
        </w:tc>
      </w:tr>
    </w:tbl>
    <w:p>
      <w:pPr>
        <w:spacing w:before="120" w:after="120"/>
        <w:ind w:firstLine="720"/>
        <w:rPr>
          <w:i/>
          <w:sz w:val="16"/>
          <w:szCs w:val="16"/>
        </w:rPr>
      </w:pPr>
      <w:r>
        <w:rPr>
          <w:i/>
          <w:sz w:val="16"/>
          <w:szCs w:val="16"/>
        </w:rPr>
        <w:t>* 38 languages are spoken by 5 of fewer students.</w:t>
      </w:r>
    </w:p>
    <w:p>
      <w:pPr>
        <w:spacing w:after="120"/>
        <w:rPr>
          <w:u w:val="single"/>
        </w:rPr>
      </w:pPr>
    </w:p>
    <w:p>
      <w:pPr>
        <w:spacing w:after="120"/>
        <w:rPr>
          <w:u w:val="single"/>
        </w:rPr>
      </w:pPr>
      <w:r>
        <w:rPr>
          <w:u w:val="single"/>
        </w:rPr>
        <w:t>Pupils on Roll at The Judd School KCC MI Autumn 2017:</w:t>
      </w:r>
    </w:p>
    <w:tbl>
      <w:tblPr>
        <w:tblW w:w="9700" w:type="dxa"/>
        <w:tblInd w:w="113" w:type="dxa"/>
        <w:tblLook w:val="04A0" w:firstRow="1" w:lastRow="0" w:firstColumn="1" w:lastColumn="0" w:noHBand="0" w:noVBand="1"/>
      </w:tblPr>
      <w:tblGrid>
        <w:gridCol w:w="860"/>
        <w:gridCol w:w="860"/>
        <w:gridCol w:w="860"/>
        <w:gridCol w:w="860"/>
        <w:gridCol w:w="860"/>
        <w:gridCol w:w="760"/>
        <w:gridCol w:w="760"/>
        <w:gridCol w:w="760"/>
        <w:gridCol w:w="760"/>
        <w:gridCol w:w="937"/>
        <w:gridCol w:w="760"/>
        <w:gridCol w:w="680"/>
      </w:tblGrid>
      <w:tr>
        <w:trPr>
          <w:trHeight w:val="1440"/>
        </w:trPr>
        <w:tc>
          <w:tcPr>
            <w:tcW w:w="860" w:type="dxa"/>
            <w:tcBorders>
              <w:top w:val="single" w:sz="4" w:space="0" w:color="auto"/>
              <w:left w:val="single" w:sz="4" w:space="0" w:color="auto"/>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15 19+</w:t>
            </w:r>
          </w:p>
        </w:tc>
        <w:tc>
          <w:tcPr>
            <w:tcW w:w="8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14 18+</w:t>
            </w:r>
          </w:p>
        </w:tc>
        <w:tc>
          <w:tcPr>
            <w:tcW w:w="8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13 17+</w:t>
            </w:r>
          </w:p>
        </w:tc>
        <w:tc>
          <w:tcPr>
            <w:tcW w:w="8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12 16+</w:t>
            </w:r>
          </w:p>
        </w:tc>
        <w:tc>
          <w:tcPr>
            <w:tcW w:w="8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11 15+</w:t>
            </w:r>
          </w:p>
        </w:tc>
        <w:tc>
          <w:tcPr>
            <w:tcW w:w="7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10 14+</w:t>
            </w:r>
          </w:p>
        </w:tc>
        <w:tc>
          <w:tcPr>
            <w:tcW w:w="7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9 13+</w:t>
            </w:r>
          </w:p>
        </w:tc>
        <w:tc>
          <w:tcPr>
            <w:tcW w:w="7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8 12+</w:t>
            </w:r>
          </w:p>
        </w:tc>
        <w:tc>
          <w:tcPr>
            <w:tcW w:w="7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Year 7 11+</w:t>
            </w:r>
          </w:p>
        </w:tc>
        <w:tc>
          <w:tcPr>
            <w:tcW w:w="92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Total Statutory Roll</w:t>
            </w:r>
          </w:p>
        </w:tc>
        <w:tc>
          <w:tcPr>
            <w:tcW w:w="76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Total Year R+ Roll</w:t>
            </w:r>
          </w:p>
        </w:tc>
        <w:tc>
          <w:tcPr>
            <w:tcW w:w="680" w:type="dxa"/>
            <w:tcBorders>
              <w:top w:val="single" w:sz="4" w:space="0" w:color="auto"/>
              <w:left w:val="nil"/>
              <w:bottom w:val="double" w:sz="6" w:space="0" w:color="auto"/>
              <w:right w:val="single" w:sz="4" w:space="0" w:color="auto"/>
            </w:tcBorders>
            <w:shd w:val="clear" w:color="000000" w:fill="FFC000"/>
            <w:vAlign w:val="center"/>
            <w:hideMark/>
          </w:tcPr>
          <w:p>
            <w:pPr>
              <w:jc w:val="center"/>
              <w:rPr>
                <w:rFonts w:cs="Arial"/>
                <w:color w:val="000000"/>
                <w:sz w:val="18"/>
                <w:szCs w:val="18"/>
              </w:rPr>
            </w:pPr>
            <w:r>
              <w:rPr>
                <w:rFonts w:cs="Arial"/>
                <w:color w:val="000000"/>
                <w:sz w:val="18"/>
                <w:szCs w:val="18"/>
              </w:rPr>
              <w:t>Total Roll</w:t>
            </w:r>
          </w:p>
        </w:tc>
      </w:tr>
      <w:tr>
        <w:trPr>
          <w:trHeight w:val="28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158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172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158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157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154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157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188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814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1149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cs="Arial"/>
                <w:color w:val="000000"/>
                <w:sz w:val="18"/>
                <w:szCs w:val="18"/>
              </w:rPr>
            </w:pPr>
            <w:r>
              <w:rPr>
                <w:rFonts w:cs="Arial"/>
                <w:color w:val="000000"/>
                <w:sz w:val="18"/>
                <w:szCs w:val="18"/>
              </w:rPr>
              <w:t>1149</w:t>
            </w:r>
          </w:p>
        </w:tc>
      </w:tr>
    </w:tbl>
    <w:p>
      <w:pPr>
        <w:spacing w:after="120"/>
        <w:rPr>
          <w:u w:val="single"/>
        </w:rPr>
      </w:pPr>
    </w:p>
    <w:p>
      <w:pPr>
        <w:spacing w:after="120"/>
        <w:rPr>
          <w:u w:val="single"/>
        </w:rPr>
      </w:pPr>
    </w:p>
    <w:p>
      <w:pPr>
        <w:rPr>
          <w:b/>
        </w:rPr>
      </w:pPr>
      <w:r>
        <w:rPr>
          <w:b/>
        </w:rPr>
        <w:t>The Community</w:t>
      </w:r>
    </w:p>
    <w:p>
      <w:pPr>
        <w:rPr>
          <w:b/>
        </w:rPr>
      </w:pPr>
    </w:p>
    <w:p>
      <w:r>
        <w:t xml:space="preserve">For more detail on the community visit: </w:t>
      </w:r>
    </w:p>
    <w:p>
      <w:hyperlink r:id="rId13" w:history="1">
        <w:r>
          <w:rPr>
            <w:rStyle w:val="Hyperlink"/>
          </w:rPr>
          <w:t>http://www.kent.gov.uk/about-the-council/information-and-data/Facts-and-figures-about-Kent/area-profiles</w:t>
        </w:r>
      </w:hyperlink>
    </w:p>
    <w:p>
      <w:pPr>
        <w:rPr>
          <w:b/>
        </w:rPr>
      </w:pPr>
      <w:r>
        <w:br w:type="page"/>
      </w:r>
      <w:r>
        <w:rPr>
          <w:b/>
        </w:rPr>
        <w:lastRenderedPageBreak/>
        <w:t>Proposed Consultation</w:t>
      </w:r>
    </w:p>
    <w:p>
      <w:pPr>
        <w:numPr>
          <w:ilvl w:val="0"/>
          <w:numId w:val="23"/>
        </w:numPr>
      </w:pPr>
      <w:r>
        <w:t>Local knowledge and discussions with the education community.</w:t>
      </w:r>
    </w:p>
    <w:p>
      <w:pPr>
        <w:numPr>
          <w:ilvl w:val="0"/>
          <w:numId w:val="23"/>
        </w:numPr>
      </w:pPr>
      <w:r>
        <w:t>A public consultation on the proposed relocation and expansion of The Judd School will take place from 28 February 2018 to 28 March 2018 (midnight).</w:t>
      </w:r>
    </w:p>
    <w:p>
      <w:pPr>
        <w:numPr>
          <w:ilvl w:val="0"/>
          <w:numId w:val="23"/>
        </w:numPr>
      </w:pPr>
      <w:r>
        <w:t>A consultation ‘drop-in’ information session has been arranged at the school on 14 March 2018</w:t>
      </w:r>
    </w:p>
    <w:p>
      <w:pPr>
        <w:jc w:val="both"/>
        <w:rPr>
          <w:b/>
        </w:rPr>
      </w:pPr>
    </w:p>
    <w:p>
      <w:pPr>
        <w:rPr>
          <w:b/>
        </w:rPr>
      </w:pPr>
      <w:r>
        <w:rPr>
          <w:b/>
        </w:rPr>
        <w:t>Potential Impact</w:t>
      </w:r>
    </w:p>
    <w:p>
      <w:pPr>
        <w:rPr>
          <w:b/>
        </w:rPr>
      </w:pPr>
    </w:p>
    <w:p>
      <w:pPr>
        <w:rPr>
          <w:b/>
        </w:rPr>
      </w:pPr>
      <w:r>
        <w:rPr>
          <w:b/>
        </w:rPr>
        <w:t>Adverse Impact:</w:t>
      </w:r>
    </w:p>
    <w:p>
      <w:r>
        <w:t>No adverse impacts have been identified at this stage; however, the consultations will provide the opportunity for the Local Authority to test out these assumptions.</w:t>
      </w:r>
    </w:p>
    <w:p>
      <w:pPr>
        <w:rPr>
          <w:b/>
        </w:rPr>
      </w:pPr>
    </w:p>
    <w:p>
      <w:pPr>
        <w:rPr>
          <w:b/>
        </w:rPr>
      </w:pPr>
      <w:r>
        <w:rPr>
          <w:b/>
        </w:rPr>
        <w:t>Positive Impact:</w:t>
      </w:r>
    </w:p>
    <w:p>
      <w:pPr>
        <w:jc w:val="both"/>
      </w:pPr>
      <w:r>
        <w:t>Some positive impacts identified are:</w:t>
      </w:r>
    </w:p>
    <w:p>
      <w:pPr>
        <w:numPr>
          <w:ilvl w:val="0"/>
          <w:numId w:val="23"/>
        </w:numPr>
      </w:pPr>
      <w:r>
        <w:t xml:space="preserve">The SRP facilities will have a positive impact on students and staff through the improvement of the learning environment. </w:t>
      </w:r>
    </w:p>
    <w:p>
      <w:pPr>
        <w:numPr>
          <w:ilvl w:val="0"/>
          <w:numId w:val="23"/>
        </w:numPr>
      </w:pPr>
      <w:r>
        <w:t>More families able to access school places</w:t>
      </w:r>
    </w:p>
    <w:p>
      <w:pPr>
        <w:numPr>
          <w:ilvl w:val="0"/>
          <w:numId w:val="23"/>
        </w:numPr>
      </w:pPr>
      <w:r>
        <w:t>School places available to children with and without faith based backgrounds.</w:t>
      </w:r>
    </w:p>
    <w:p>
      <w:pPr>
        <w:ind w:left="397"/>
        <w:jc w:val="both"/>
      </w:pPr>
    </w:p>
    <w:p>
      <w:pPr>
        <w:rPr>
          <w:b/>
        </w:rPr>
      </w:pPr>
      <w:r>
        <w:rPr>
          <w:b/>
        </w:rPr>
        <w:t>JUDGEMENT</w:t>
      </w:r>
    </w:p>
    <w:p>
      <w:pPr>
        <w:rPr>
          <w:b/>
        </w:rPr>
      </w:pPr>
      <w:r>
        <w:rPr>
          <w:b/>
        </w:rPr>
        <w:t xml:space="preserve">Option 1 – Screening Sufficient                     </w:t>
      </w:r>
      <w:r>
        <w:rPr>
          <w:b/>
          <w:strike/>
        </w:rPr>
        <w:t>YES</w:t>
      </w:r>
      <w:r>
        <w:rPr>
          <w:b/>
        </w:rPr>
        <w:t>/NO</w:t>
      </w:r>
    </w:p>
    <w:p/>
    <w:p>
      <w:pPr>
        <w:rPr>
          <w:b/>
        </w:rPr>
      </w:pPr>
      <w:r>
        <w:rPr>
          <w:b/>
        </w:rPr>
        <w:t xml:space="preserve">Justification: </w:t>
      </w:r>
    </w:p>
    <w:p>
      <w:pPr>
        <w:rPr>
          <w:b/>
        </w:rPr>
      </w:pPr>
      <w:r>
        <w:rPr>
          <w:b/>
        </w:rPr>
        <w:t>Option 2 – Internal Action Required              YES/</w:t>
      </w:r>
      <w:r>
        <w:rPr>
          <w:b/>
          <w:strike/>
        </w:rPr>
        <w:t>NO</w:t>
      </w:r>
    </w:p>
    <w:p>
      <w:pPr>
        <w:numPr>
          <w:ilvl w:val="0"/>
          <w:numId w:val="11"/>
        </w:numPr>
        <w:rPr>
          <w:i/>
          <w:color w:val="000000"/>
        </w:rPr>
      </w:pPr>
      <w:r>
        <w:rPr>
          <w:i/>
        </w:rPr>
        <w:t>Following this initial screening our judgement is that t</w:t>
      </w:r>
      <w:r>
        <w:rPr>
          <w:i/>
          <w:color w:val="000000"/>
        </w:rPr>
        <w:t>he statutory Public Consultation that will be undertaken will highlight any unknown issues and if necessary, will initiate a further EIA</w:t>
      </w:r>
    </w:p>
    <w:p>
      <w:pPr>
        <w:rPr>
          <w:i/>
        </w:rPr>
      </w:pPr>
    </w:p>
    <w:p>
      <w:pPr>
        <w:rPr>
          <w:b/>
        </w:rPr>
      </w:pPr>
      <w:r>
        <w:rPr>
          <w:b/>
        </w:rPr>
        <w:t xml:space="preserve">Option 3 – Full Impact Assessment               </w:t>
      </w:r>
      <w:r>
        <w:rPr>
          <w:b/>
          <w:strike/>
        </w:rPr>
        <w:t>YES</w:t>
      </w:r>
      <w:r>
        <w:rPr>
          <w:b/>
        </w:rPr>
        <w:t>/NO</w:t>
      </w:r>
    </w:p>
    <w:p>
      <w:pPr>
        <w:rPr>
          <w:b/>
        </w:rPr>
      </w:pPr>
    </w:p>
    <w:p>
      <w:pPr>
        <w:rPr>
          <w:b/>
        </w:rPr>
      </w:pPr>
      <w:r>
        <w:rPr>
          <w:b/>
        </w:rPr>
        <w:t xml:space="preserve">Equality and Diversity Team Comments </w:t>
      </w:r>
    </w:p>
    <w:p>
      <w:pPr>
        <w:rPr>
          <w:b/>
        </w:rPr>
      </w:pPr>
    </w:p>
    <w:p>
      <w:pPr>
        <w:rPr>
          <w:b/>
        </w:rPr>
      </w:pPr>
      <w:r>
        <w:rPr>
          <w:b/>
        </w:rPr>
        <w:t>Sign Off</w:t>
      </w:r>
    </w:p>
    <w:p/>
    <w:p>
      <w:r>
        <w:t>I have noted the content of the equality impact assessment and agree the actions to mitigate the adverse impact(s) that have been identified.</w:t>
      </w:r>
    </w:p>
    <w:p/>
    <w:p>
      <w:pPr>
        <w:rPr>
          <w:b/>
        </w:rPr>
      </w:pPr>
      <w:r>
        <w:rPr>
          <w:b/>
          <w:i/>
        </w:rPr>
        <w:t xml:space="preserve">Senior Officer </w:t>
      </w:r>
    </w:p>
    <w:p/>
    <w:p>
      <w:r>
        <w:t>Signed:</w:t>
      </w:r>
      <w:r>
        <w:tab/>
      </w:r>
      <w:r>
        <w:tab/>
      </w:r>
      <w:r>
        <w:tab/>
      </w:r>
      <w:r>
        <w:rPr>
          <w:rFonts w:ascii="Segoe Script" w:hAnsi="Segoe Script"/>
        </w:rPr>
        <w:tab/>
      </w:r>
      <w:r>
        <w:tab/>
      </w:r>
      <w:r>
        <w:tab/>
      </w:r>
      <w:r>
        <w:tab/>
        <w:t>Name:  Jared Nehra</w:t>
      </w:r>
    </w:p>
    <w:p>
      <w:r>
        <w:t>Job Title:</w:t>
      </w:r>
      <w:r>
        <w:tab/>
        <w:t>Area Education Officer (West Kent)</w:t>
      </w:r>
      <w:r>
        <w:tab/>
        <w:t>Date:  09 February 2018</w:t>
      </w:r>
    </w:p>
    <w:p>
      <w:pPr>
        <w:rPr>
          <w:b/>
        </w:rPr>
      </w:pPr>
    </w:p>
    <w:p>
      <w:pPr>
        <w:rPr>
          <w:b/>
          <w:i/>
        </w:rPr>
      </w:pPr>
      <w:r>
        <w:rPr>
          <w:b/>
          <w:i/>
        </w:rPr>
        <w:t>DMT Member</w:t>
      </w:r>
    </w:p>
    <w:p>
      <w:pPr>
        <w:rPr>
          <w:b/>
        </w:rPr>
      </w:pPr>
    </w:p>
    <w:p>
      <w:r>
        <w:t>Signed:</w:t>
      </w:r>
      <w:r>
        <w:tab/>
      </w:r>
      <w:r>
        <w:tab/>
      </w:r>
      <w:r>
        <w:tab/>
      </w:r>
      <w:r>
        <w:tab/>
      </w:r>
      <w:r>
        <w:tab/>
      </w:r>
      <w:r>
        <w:tab/>
      </w:r>
      <w:r>
        <w:tab/>
        <w:t>Name:  Keith Abbott</w:t>
      </w:r>
    </w:p>
    <w:p>
      <w:r>
        <w:t>Job Title:</w:t>
      </w:r>
      <w:r>
        <w:tab/>
        <w:t>Director – Education Planning</w:t>
      </w:r>
      <w:r>
        <w:tab/>
      </w:r>
      <w:r>
        <w:tab/>
        <w:t>Date:  09 February 2018</w:t>
      </w:r>
    </w:p>
    <w:p>
      <w:r>
        <w:tab/>
      </w:r>
      <w:r>
        <w:tab/>
        <w:t>and Access</w:t>
      </w:r>
      <w:r>
        <w:tab/>
        <w:t xml:space="preserve">         </w:t>
      </w:r>
    </w:p>
    <w:p>
      <w:pPr>
        <w:rPr>
          <w:i/>
        </w:rPr>
      </w:pPr>
    </w:p>
    <w:p>
      <w:pPr>
        <w:sectPr>
          <w:pgSz w:w="11906" w:h="16838" w:code="9"/>
          <w:pgMar w:top="1134" w:right="1134" w:bottom="1134" w:left="1134" w:header="709" w:footer="709" w:gutter="0"/>
          <w:cols w:space="708"/>
          <w:docGrid w:linePitch="360"/>
        </w:sectPr>
      </w:pPr>
    </w:p>
    <w:p>
      <w:pPr>
        <w:rPr>
          <w:b/>
        </w:rPr>
      </w:pPr>
      <w:r>
        <w:rPr>
          <w:b/>
        </w:rPr>
        <w:lastRenderedPageBreak/>
        <w:t>Equality Impact Assessment Action Plan</w:t>
      </w:r>
      <w:r>
        <w:rPr>
          <w:b/>
        </w:rPr>
        <w:tab/>
      </w:r>
      <w:r>
        <w:rPr>
          <w:b/>
        </w:rPr>
        <w:tab/>
      </w:r>
      <w:r>
        <w:rPr>
          <w:b/>
        </w:rPr>
        <w:tab/>
      </w:r>
      <w:r>
        <w:rPr>
          <w:b/>
        </w:rPr>
        <w:tab/>
      </w:r>
      <w:r>
        <w:rPr>
          <w:b/>
        </w:rPr>
        <w:tab/>
      </w:r>
      <w:r>
        <w:rPr>
          <w:b/>
        </w:rPr>
        <w:tab/>
      </w:r>
      <w:r>
        <w:rPr>
          <w:b/>
        </w:rPr>
        <w:tab/>
      </w:r>
      <w:r>
        <w:rPr>
          <w:b/>
        </w:rPr>
        <w:tab/>
      </w:r>
      <w:r>
        <w:rPr>
          <w:b/>
        </w:rPr>
        <w:tab/>
      </w:r>
      <w:r>
        <w:rPr>
          <w:b/>
        </w:rPr>
        <w:tab/>
        <w:t xml:space="preserve"> </w:t>
      </w:r>
      <w:r>
        <w:rPr>
          <w:b/>
          <w:i/>
          <w:noProof/>
          <w:sz w:val="20"/>
          <w:szCs w:val="20"/>
        </w:rPr>
        <w:drawing>
          <wp:inline distT="0" distB="0" distL="0" distR="0">
            <wp:extent cx="859790" cy="544195"/>
            <wp:effectExtent l="0" t="0" r="0" b="0"/>
            <wp:docPr id="2" name="Picture 2" descr="KCC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45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790" cy="544195"/>
                    </a:xfrm>
                    <a:prstGeom prst="rect">
                      <a:avLst/>
                    </a:prstGeom>
                    <a:noFill/>
                    <a:ln>
                      <a:noFill/>
                    </a:ln>
                  </pic:spPr>
                </pic:pic>
              </a:graphicData>
            </a:graphic>
          </wp:inline>
        </w:drawing>
      </w: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166"/>
        <w:gridCol w:w="2223"/>
        <w:gridCol w:w="2109"/>
        <w:gridCol w:w="1368"/>
        <w:gridCol w:w="1938"/>
        <w:gridCol w:w="2109"/>
      </w:tblGrid>
      <w:tr>
        <w:tc>
          <w:tcPr>
            <w:tcW w:w="1817" w:type="dxa"/>
            <w:shd w:val="clear" w:color="auto" w:fill="D9D9D9"/>
          </w:tcPr>
          <w:p>
            <w:pPr>
              <w:rPr>
                <w:b/>
              </w:rPr>
            </w:pPr>
            <w:r>
              <w:rPr>
                <w:b/>
              </w:rPr>
              <w:t>Protected Characteristic</w:t>
            </w:r>
          </w:p>
        </w:tc>
        <w:tc>
          <w:tcPr>
            <w:tcW w:w="2166" w:type="dxa"/>
            <w:shd w:val="clear" w:color="auto" w:fill="D9D9D9"/>
          </w:tcPr>
          <w:p>
            <w:pPr>
              <w:rPr>
                <w:b/>
              </w:rPr>
            </w:pPr>
            <w:r>
              <w:rPr>
                <w:b/>
              </w:rPr>
              <w:t>Issues identified</w:t>
            </w:r>
          </w:p>
        </w:tc>
        <w:tc>
          <w:tcPr>
            <w:tcW w:w="2223" w:type="dxa"/>
            <w:shd w:val="clear" w:color="auto" w:fill="D9D9D9"/>
          </w:tcPr>
          <w:p>
            <w:pPr>
              <w:rPr>
                <w:b/>
              </w:rPr>
            </w:pPr>
            <w:r>
              <w:rPr>
                <w:b/>
              </w:rPr>
              <w:t>Action to be taken</w:t>
            </w:r>
          </w:p>
        </w:tc>
        <w:tc>
          <w:tcPr>
            <w:tcW w:w="2109" w:type="dxa"/>
            <w:shd w:val="clear" w:color="auto" w:fill="D9D9D9"/>
          </w:tcPr>
          <w:p>
            <w:pPr>
              <w:rPr>
                <w:b/>
              </w:rPr>
            </w:pPr>
            <w:r>
              <w:rPr>
                <w:b/>
              </w:rPr>
              <w:t>Expected outcomes</w:t>
            </w:r>
          </w:p>
        </w:tc>
        <w:tc>
          <w:tcPr>
            <w:tcW w:w="1368" w:type="dxa"/>
            <w:shd w:val="clear" w:color="auto" w:fill="D9D9D9"/>
          </w:tcPr>
          <w:p>
            <w:pPr>
              <w:rPr>
                <w:b/>
              </w:rPr>
            </w:pPr>
            <w:r>
              <w:rPr>
                <w:b/>
              </w:rPr>
              <w:t>Owner</w:t>
            </w:r>
          </w:p>
        </w:tc>
        <w:tc>
          <w:tcPr>
            <w:tcW w:w="1938" w:type="dxa"/>
            <w:shd w:val="clear" w:color="auto" w:fill="D9D9D9"/>
          </w:tcPr>
          <w:p>
            <w:pPr>
              <w:rPr>
                <w:b/>
              </w:rPr>
            </w:pPr>
            <w:r>
              <w:rPr>
                <w:b/>
              </w:rPr>
              <w:t>Timescale</w:t>
            </w:r>
          </w:p>
        </w:tc>
        <w:tc>
          <w:tcPr>
            <w:tcW w:w="2109" w:type="dxa"/>
            <w:shd w:val="clear" w:color="auto" w:fill="D9D9D9"/>
          </w:tcPr>
          <w:p>
            <w:pPr>
              <w:rPr>
                <w:b/>
              </w:rPr>
            </w:pPr>
            <w:r>
              <w:rPr>
                <w:b/>
              </w:rPr>
              <w:t>Cost implications</w:t>
            </w: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r>
        <w:tc>
          <w:tcPr>
            <w:tcW w:w="1817" w:type="dxa"/>
            <w:shd w:val="clear" w:color="auto" w:fill="auto"/>
          </w:tcPr>
          <w:p>
            <w:pPr>
              <w:rPr>
                <w:b/>
              </w:rPr>
            </w:pPr>
          </w:p>
          <w:p>
            <w:pPr>
              <w:rPr>
                <w:b/>
              </w:rPr>
            </w:pPr>
          </w:p>
          <w:p>
            <w:pPr>
              <w:rPr>
                <w:b/>
              </w:rPr>
            </w:pPr>
          </w:p>
        </w:tc>
        <w:tc>
          <w:tcPr>
            <w:tcW w:w="2166" w:type="dxa"/>
            <w:shd w:val="clear" w:color="auto" w:fill="auto"/>
          </w:tcPr>
          <w:p>
            <w:pPr>
              <w:rPr>
                <w:b/>
              </w:rPr>
            </w:pPr>
          </w:p>
        </w:tc>
        <w:tc>
          <w:tcPr>
            <w:tcW w:w="2223" w:type="dxa"/>
            <w:shd w:val="clear" w:color="auto" w:fill="auto"/>
          </w:tcPr>
          <w:p>
            <w:pPr>
              <w:rPr>
                <w:b/>
              </w:rPr>
            </w:pPr>
          </w:p>
        </w:tc>
        <w:tc>
          <w:tcPr>
            <w:tcW w:w="2109" w:type="dxa"/>
            <w:shd w:val="clear" w:color="auto" w:fill="auto"/>
          </w:tcPr>
          <w:p>
            <w:pPr>
              <w:rPr>
                <w:b/>
              </w:rPr>
            </w:pPr>
          </w:p>
        </w:tc>
        <w:tc>
          <w:tcPr>
            <w:tcW w:w="1368" w:type="dxa"/>
            <w:shd w:val="clear" w:color="auto" w:fill="auto"/>
          </w:tcPr>
          <w:p>
            <w:pPr>
              <w:rPr>
                <w:b/>
              </w:rPr>
            </w:pPr>
          </w:p>
        </w:tc>
        <w:tc>
          <w:tcPr>
            <w:tcW w:w="1938" w:type="dxa"/>
            <w:shd w:val="clear" w:color="auto" w:fill="auto"/>
          </w:tcPr>
          <w:p>
            <w:pPr>
              <w:rPr>
                <w:b/>
              </w:rPr>
            </w:pPr>
          </w:p>
        </w:tc>
        <w:tc>
          <w:tcPr>
            <w:tcW w:w="2109" w:type="dxa"/>
            <w:shd w:val="clear" w:color="auto" w:fill="auto"/>
          </w:tcPr>
          <w:p>
            <w:pPr>
              <w:rPr>
                <w:b/>
              </w:rPr>
            </w:pPr>
          </w:p>
        </w:tc>
      </w:tr>
    </w:tbl>
    <w:p>
      <w:pPr>
        <w:rPr>
          <w:i/>
        </w:rPr>
      </w:pPr>
    </w:p>
    <w:sectPr>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jc w:val="right"/>
    </w:pPr>
    <w:r>
      <w:t>KCC/EqIA2012/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90D"/>
    <w:multiLevelType w:val="hybridMultilevel"/>
    <w:tmpl w:val="9768DC3C"/>
    <w:lvl w:ilvl="0" w:tplc="08090001">
      <w:start w:val="1"/>
      <w:numFmt w:val="bullet"/>
      <w:lvlText w:val=""/>
      <w:lvlJc w:val="left"/>
      <w:pPr>
        <w:tabs>
          <w:tab w:val="num" w:pos="360"/>
        </w:tabs>
        <w:ind w:left="360" w:hanging="360"/>
      </w:pPr>
      <w:rPr>
        <w:rFonts w:ascii="Symbol" w:hAnsi="Symbol" w:hint="default"/>
      </w:rPr>
    </w:lvl>
    <w:lvl w:ilvl="1" w:tplc="11B0CE4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92EC8"/>
    <w:multiLevelType w:val="hybridMultilevel"/>
    <w:tmpl w:val="DFBA5CBE"/>
    <w:lvl w:ilvl="0" w:tplc="8DBABD18">
      <w:start w:val="1"/>
      <w:numFmt w:val="bullet"/>
      <w:lvlText w:val=""/>
      <w:lvlJc w:val="left"/>
      <w:pPr>
        <w:tabs>
          <w:tab w:val="num" w:pos="360"/>
        </w:tabs>
        <w:ind w:left="360" w:hanging="360"/>
      </w:pPr>
      <w:rPr>
        <w:rFonts w:ascii="Wingdings" w:hAnsi="Wingdings" w:hint="default"/>
      </w:rPr>
    </w:lvl>
    <w:lvl w:ilvl="1" w:tplc="11B0CE4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E3CD0"/>
    <w:multiLevelType w:val="hybridMultilevel"/>
    <w:tmpl w:val="530E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53DA7"/>
    <w:multiLevelType w:val="hybridMultilevel"/>
    <w:tmpl w:val="8C54D60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BA531E0"/>
    <w:multiLevelType w:val="hybridMultilevel"/>
    <w:tmpl w:val="4A46B8B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161D3"/>
    <w:multiLevelType w:val="hybridMultilevel"/>
    <w:tmpl w:val="714E330E"/>
    <w:lvl w:ilvl="0" w:tplc="8DBABD18">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3582168"/>
    <w:multiLevelType w:val="hybridMultilevel"/>
    <w:tmpl w:val="3F02840C"/>
    <w:lvl w:ilvl="0" w:tplc="05D626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DC5"/>
    <w:multiLevelType w:val="hybridMultilevel"/>
    <w:tmpl w:val="6246B0BC"/>
    <w:lvl w:ilvl="0" w:tplc="11B0CE42">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F3A0B"/>
    <w:multiLevelType w:val="hybridMultilevel"/>
    <w:tmpl w:val="A5D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C2D79"/>
    <w:multiLevelType w:val="hybridMultilevel"/>
    <w:tmpl w:val="7754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54E82"/>
    <w:multiLevelType w:val="hybridMultilevel"/>
    <w:tmpl w:val="0AC0AF80"/>
    <w:lvl w:ilvl="0" w:tplc="11B0CE42">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37305"/>
    <w:multiLevelType w:val="hybridMultilevel"/>
    <w:tmpl w:val="F3EC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942FA"/>
    <w:multiLevelType w:val="hybridMultilevel"/>
    <w:tmpl w:val="6CD6D9FE"/>
    <w:lvl w:ilvl="0" w:tplc="11B0CE42">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2112"/>
    <w:multiLevelType w:val="hybridMultilevel"/>
    <w:tmpl w:val="C8282622"/>
    <w:lvl w:ilvl="0" w:tplc="8DBABD1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7334F"/>
    <w:multiLevelType w:val="hybridMultilevel"/>
    <w:tmpl w:val="28442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780"/>
        </w:tabs>
        <w:ind w:left="1780" w:hanging="34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104CAC"/>
    <w:multiLevelType w:val="hybridMultilevel"/>
    <w:tmpl w:val="297C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C4781"/>
    <w:multiLevelType w:val="hybridMultilevel"/>
    <w:tmpl w:val="6A4EAECE"/>
    <w:lvl w:ilvl="0" w:tplc="08090001">
      <w:start w:val="1"/>
      <w:numFmt w:val="bullet"/>
      <w:lvlText w:val=""/>
      <w:lvlJc w:val="left"/>
      <w:pPr>
        <w:tabs>
          <w:tab w:val="num" w:pos="360"/>
        </w:tabs>
        <w:ind w:left="360" w:hanging="360"/>
      </w:pPr>
      <w:rPr>
        <w:rFonts w:ascii="Symbol" w:hAnsi="Symbol" w:hint="default"/>
      </w:rPr>
    </w:lvl>
    <w:lvl w:ilvl="1" w:tplc="11B0CE4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A1560"/>
    <w:multiLevelType w:val="hybridMultilevel"/>
    <w:tmpl w:val="60D2F1A0"/>
    <w:lvl w:ilvl="0" w:tplc="11B0CE42">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3129C"/>
    <w:multiLevelType w:val="hybridMultilevel"/>
    <w:tmpl w:val="893C6168"/>
    <w:lvl w:ilvl="0" w:tplc="5A34F97C">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C6977DE"/>
    <w:multiLevelType w:val="hybridMultilevel"/>
    <w:tmpl w:val="9E7098E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420"/>
        </w:tabs>
        <w:ind w:left="1420" w:hanging="34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563A0"/>
    <w:multiLevelType w:val="hybridMultilevel"/>
    <w:tmpl w:val="6D5CF098"/>
    <w:lvl w:ilvl="0" w:tplc="08090001">
      <w:start w:val="1"/>
      <w:numFmt w:val="bullet"/>
      <w:lvlText w:val=""/>
      <w:lvlJc w:val="left"/>
      <w:pPr>
        <w:tabs>
          <w:tab w:val="num" w:pos="360"/>
        </w:tabs>
        <w:ind w:left="360" w:hanging="360"/>
      </w:pPr>
      <w:rPr>
        <w:rFonts w:ascii="Symbol" w:hAnsi="Symbol" w:hint="default"/>
      </w:rPr>
    </w:lvl>
    <w:lvl w:ilvl="1" w:tplc="11B0CE4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201A0"/>
    <w:multiLevelType w:val="hybridMultilevel"/>
    <w:tmpl w:val="11C86DB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7A486A86"/>
    <w:multiLevelType w:val="hybridMultilevel"/>
    <w:tmpl w:val="D59C485E"/>
    <w:lvl w:ilvl="0" w:tplc="08090001">
      <w:start w:val="6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75F7B"/>
    <w:multiLevelType w:val="hybridMultilevel"/>
    <w:tmpl w:val="B52CD546"/>
    <w:lvl w:ilvl="0" w:tplc="43F2E5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CB7138"/>
    <w:multiLevelType w:val="multilevel"/>
    <w:tmpl w:val="4A46B8B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3"/>
  </w:num>
  <w:num w:numId="4">
    <w:abstractNumId w:val="6"/>
  </w:num>
  <w:num w:numId="5">
    <w:abstractNumId w:val="13"/>
  </w:num>
  <w:num w:numId="6">
    <w:abstractNumId w:val="16"/>
  </w:num>
  <w:num w:numId="7">
    <w:abstractNumId w:val="7"/>
  </w:num>
  <w:num w:numId="8">
    <w:abstractNumId w:val="4"/>
  </w:num>
  <w:num w:numId="9">
    <w:abstractNumId w:val="24"/>
  </w:num>
  <w:num w:numId="10">
    <w:abstractNumId w:val="18"/>
  </w:num>
  <w:num w:numId="11">
    <w:abstractNumId w:val="10"/>
  </w:num>
  <w:num w:numId="12">
    <w:abstractNumId w:val="21"/>
  </w:num>
  <w:num w:numId="13">
    <w:abstractNumId w:val="20"/>
  </w:num>
  <w:num w:numId="14">
    <w:abstractNumId w:val="8"/>
  </w:num>
  <w:num w:numId="15">
    <w:abstractNumId w:val="14"/>
  </w:num>
  <w:num w:numId="16">
    <w:abstractNumId w:val="19"/>
  </w:num>
  <w:num w:numId="17">
    <w:abstractNumId w:val="3"/>
  </w:num>
  <w:num w:numId="18">
    <w:abstractNumId w:val="1"/>
  </w:num>
  <w:num w:numId="19">
    <w:abstractNumId w:val="5"/>
  </w:num>
  <w:num w:numId="20">
    <w:abstractNumId w:val="0"/>
  </w:num>
  <w:num w:numId="21">
    <w:abstractNumId w:val="9"/>
  </w:num>
  <w:num w:numId="22">
    <w:abstractNumId w:val="15"/>
  </w:num>
  <w:num w:numId="23">
    <w:abstractNumId w:val="17"/>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42863B-3F35-4B8B-97CD-AC8003A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odyText">
    <w:name w:val="Body Text"/>
    <w:basedOn w:val="Normal"/>
    <w:pPr>
      <w:jc w:val="both"/>
    </w:pPr>
    <w:rPr>
      <w:sz w:val="22"/>
      <w:szCs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Myriad Pro Light" w:eastAsia="Calibri" w:hAnsi="Myriad Pro Light" w:cs="Myriad Pro Light"/>
      <w:color w:val="000000"/>
      <w:sz w:val="24"/>
      <w:szCs w:val="24"/>
      <w:lang w:eastAsia="en-US"/>
    </w:rPr>
  </w:style>
  <w:style w:type="paragraph" w:customStyle="1" w:styleId="Pa0">
    <w:name w:val="Pa0"/>
    <w:basedOn w:val="Normal"/>
    <w:next w:val="Normal"/>
    <w:uiPriority w:val="99"/>
    <w:pPr>
      <w:autoSpaceDE w:val="0"/>
      <w:autoSpaceDN w:val="0"/>
      <w:adjustRightInd w:val="0"/>
      <w:spacing w:line="241" w:lineRule="atLeast"/>
    </w:pPr>
    <w:rPr>
      <w:rFonts w:ascii="Myriad Pro Light" w:hAnsi="Myriad Pro Light"/>
    </w:rPr>
  </w:style>
  <w:style w:type="character" w:styleId="FollowedHyperlink">
    <w:name w:val="FollowedHyperlink"/>
    <w:rPr>
      <w:color w:val="800080"/>
      <w:u w:val="single"/>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60">
      <w:bodyDiv w:val="1"/>
      <w:marLeft w:val="0"/>
      <w:marRight w:val="0"/>
      <w:marTop w:val="0"/>
      <w:marBottom w:val="0"/>
      <w:divBdr>
        <w:top w:val="none" w:sz="0" w:space="0" w:color="auto"/>
        <w:left w:val="none" w:sz="0" w:space="0" w:color="auto"/>
        <w:bottom w:val="none" w:sz="0" w:space="0" w:color="auto"/>
        <w:right w:val="none" w:sz="0" w:space="0" w:color="auto"/>
      </w:divBdr>
    </w:div>
    <w:div w:id="58865737">
      <w:bodyDiv w:val="1"/>
      <w:marLeft w:val="0"/>
      <w:marRight w:val="0"/>
      <w:marTop w:val="0"/>
      <w:marBottom w:val="0"/>
      <w:divBdr>
        <w:top w:val="none" w:sz="0" w:space="0" w:color="auto"/>
        <w:left w:val="none" w:sz="0" w:space="0" w:color="auto"/>
        <w:bottom w:val="none" w:sz="0" w:space="0" w:color="auto"/>
        <w:right w:val="none" w:sz="0" w:space="0" w:color="auto"/>
      </w:divBdr>
    </w:div>
    <w:div w:id="100609262">
      <w:bodyDiv w:val="1"/>
      <w:marLeft w:val="0"/>
      <w:marRight w:val="0"/>
      <w:marTop w:val="0"/>
      <w:marBottom w:val="0"/>
      <w:divBdr>
        <w:top w:val="none" w:sz="0" w:space="0" w:color="auto"/>
        <w:left w:val="none" w:sz="0" w:space="0" w:color="auto"/>
        <w:bottom w:val="none" w:sz="0" w:space="0" w:color="auto"/>
        <w:right w:val="none" w:sz="0" w:space="0" w:color="auto"/>
      </w:divBdr>
    </w:div>
    <w:div w:id="124930273">
      <w:bodyDiv w:val="1"/>
      <w:marLeft w:val="0"/>
      <w:marRight w:val="0"/>
      <w:marTop w:val="0"/>
      <w:marBottom w:val="0"/>
      <w:divBdr>
        <w:top w:val="none" w:sz="0" w:space="0" w:color="auto"/>
        <w:left w:val="none" w:sz="0" w:space="0" w:color="auto"/>
        <w:bottom w:val="none" w:sz="0" w:space="0" w:color="auto"/>
        <w:right w:val="none" w:sz="0" w:space="0" w:color="auto"/>
      </w:divBdr>
    </w:div>
    <w:div w:id="152961253">
      <w:bodyDiv w:val="1"/>
      <w:marLeft w:val="0"/>
      <w:marRight w:val="0"/>
      <w:marTop w:val="0"/>
      <w:marBottom w:val="0"/>
      <w:divBdr>
        <w:top w:val="none" w:sz="0" w:space="0" w:color="auto"/>
        <w:left w:val="none" w:sz="0" w:space="0" w:color="auto"/>
        <w:bottom w:val="none" w:sz="0" w:space="0" w:color="auto"/>
        <w:right w:val="none" w:sz="0" w:space="0" w:color="auto"/>
      </w:divBdr>
    </w:div>
    <w:div w:id="237521383">
      <w:bodyDiv w:val="1"/>
      <w:marLeft w:val="0"/>
      <w:marRight w:val="0"/>
      <w:marTop w:val="0"/>
      <w:marBottom w:val="0"/>
      <w:divBdr>
        <w:top w:val="none" w:sz="0" w:space="0" w:color="auto"/>
        <w:left w:val="none" w:sz="0" w:space="0" w:color="auto"/>
        <w:bottom w:val="none" w:sz="0" w:space="0" w:color="auto"/>
        <w:right w:val="none" w:sz="0" w:space="0" w:color="auto"/>
      </w:divBdr>
    </w:div>
    <w:div w:id="356470150">
      <w:bodyDiv w:val="1"/>
      <w:marLeft w:val="0"/>
      <w:marRight w:val="0"/>
      <w:marTop w:val="0"/>
      <w:marBottom w:val="0"/>
      <w:divBdr>
        <w:top w:val="none" w:sz="0" w:space="0" w:color="auto"/>
        <w:left w:val="none" w:sz="0" w:space="0" w:color="auto"/>
        <w:bottom w:val="none" w:sz="0" w:space="0" w:color="auto"/>
        <w:right w:val="none" w:sz="0" w:space="0" w:color="auto"/>
      </w:divBdr>
    </w:div>
    <w:div w:id="427703567">
      <w:bodyDiv w:val="1"/>
      <w:marLeft w:val="0"/>
      <w:marRight w:val="0"/>
      <w:marTop w:val="0"/>
      <w:marBottom w:val="0"/>
      <w:divBdr>
        <w:top w:val="none" w:sz="0" w:space="0" w:color="auto"/>
        <w:left w:val="none" w:sz="0" w:space="0" w:color="auto"/>
        <w:bottom w:val="none" w:sz="0" w:space="0" w:color="auto"/>
        <w:right w:val="none" w:sz="0" w:space="0" w:color="auto"/>
      </w:divBdr>
    </w:div>
    <w:div w:id="475997654">
      <w:bodyDiv w:val="1"/>
      <w:marLeft w:val="0"/>
      <w:marRight w:val="0"/>
      <w:marTop w:val="0"/>
      <w:marBottom w:val="0"/>
      <w:divBdr>
        <w:top w:val="none" w:sz="0" w:space="0" w:color="auto"/>
        <w:left w:val="none" w:sz="0" w:space="0" w:color="auto"/>
        <w:bottom w:val="none" w:sz="0" w:space="0" w:color="auto"/>
        <w:right w:val="none" w:sz="0" w:space="0" w:color="auto"/>
      </w:divBdr>
    </w:div>
    <w:div w:id="578637911">
      <w:bodyDiv w:val="1"/>
      <w:marLeft w:val="0"/>
      <w:marRight w:val="0"/>
      <w:marTop w:val="0"/>
      <w:marBottom w:val="0"/>
      <w:divBdr>
        <w:top w:val="none" w:sz="0" w:space="0" w:color="auto"/>
        <w:left w:val="none" w:sz="0" w:space="0" w:color="auto"/>
        <w:bottom w:val="none" w:sz="0" w:space="0" w:color="auto"/>
        <w:right w:val="none" w:sz="0" w:space="0" w:color="auto"/>
      </w:divBdr>
    </w:div>
    <w:div w:id="587811040">
      <w:bodyDiv w:val="1"/>
      <w:marLeft w:val="0"/>
      <w:marRight w:val="0"/>
      <w:marTop w:val="0"/>
      <w:marBottom w:val="0"/>
      <w:divBdr>
        <w:top w:val="none" w:sz="0" w:space="0" w:color="auto"/>
        <w:left w:val="none" w:sz="0" w:space="0" w:color="auto"/>
        <w:bottom w:val="none" w:sz="0" w:space="0" w:color="auto"/>
        <w:right w:val="none" w:sz="0" w:space="0" w:color="auto"/>
      </w:divBdr>
    </w:div>
    <w:div w:id="671494823">
      <w:bodyDiv w:val="1"/>
      <w:marLeft w:val="0"/>
      <w:marRight w:val="0"/>
      <w:marTop w:val="0"/>
      <w:marBottom w:val="0"/>
      <w:divBdr>
        <w:top w:val="none" w:sz="0" w:space="0" w:color="auto"/>
        <w:left w:val="none" w:sz="0" w:space="0" w:color="auto"/>
        <w:bottom w:val="none" w:sz="0" w:space="0" w:color="auto"/>
        <w:right w:val="none" w:sz="0" w:space="0" w:color="auto"/>
      </w:divBdr>
    </w:div>
    <w:div w:id="759909671">
      <w:bodyDiv w:val="1"/>
      <w:marLeft w:val="0"/>
      <w:marRight w:val="0"/>
      <w:marTop w:val="0"/>
      <w:marBottom w:val="0"/>
      <w:divBdr>
        <w:top w:val="none" w:sz="0" w:space="0" w:color="auto"/>
        <w:left w:val="none" w:sz="0" w:space="0" w:color="auto"/>
        <w:bottom w:val="none" w:sz="0" w:space="0" w:color="auto"/>
        <w:right w:val="none" w:sz="0" w:space="0" w:color="auto"/>
      </w:divBdr>
    </w:div>
    <w:div w:id="827750476">
      <w:bodyDiv w:val="1"/>
      <w:marLeft w:val="0"/>
      <w:marRight w:val="0"/>
      <w:marTop w:val="0"/>
      <w:marBottom w:val="0"/>
      <w:divBdr>
        <w:top w:val="none" w:sz="0" w:space="0" w:color="auto"/>
        <w:left w:val="none" w:sz="0" w:space="0" w:color="auto"/>
        <w:bottom w:val="none" w:sz="0" w:space="0" w:color="auto"/>
        <w:right w:val="none" w:sz="0" w:space="0" w:color="auto"/>
      </w:divBdr>
    </w:div>
    <w:div w:id="884758647">
      <w:bodyDiv w:val="1"/>
      <w:marLeft w:val="0"/>
      <w:marRight w:val="0"/>
      <w:marTop w:val="0"/>
      <w:marBottom w:val="0"/>
      <w:divBdr>
        <w:top w:val="none" w:sz="0" w:space="0" w:color="auto"/>
        <w:left w:val="none" w:sz="0" w:space="0" w:color="auto"/>
        <w:bottom w:val="none" w:sz="0" w:space="0" w:color="auto"/>
        <w:right w:val="none" w:sz="0" w:space="0" w:color="auto"/>
      </w:divBdr>
    </w:div>
    <w:div w:id="920141291">
      <w:bodyDiv w:val="1"/>
      <w:marLeft w:val="0"/>
      <w:marRight w:val="0"/>
      <w:marTop w:val="0"/>
      <w:marBottom w:val="0"/>
      <w:divBdr>
        <w:top w:val="none" w:sz="0" w:space="0" w:color="auto"/>
        <w:left w:val="none" w:sz="0" w:space="0" w:color="auto"/>
        <w:bottom w:val="none" w:sz="0" w:space="0" w:color="auto"/>
        <w:right w:val="none" w:sz="0" w:space="0" w:color="auto"/>
      </w:divBdr>
    </w:div>
    <w:div w:id="1049184208">
      <w:bodyDiv w:val="1"/>
      <w:marLeft w:val="0"/>
      <w:marRight w:val="0"/>
      <w:marTop w:val="0"/>
      <w:marBottom w:val="0"/>
      <w:divBdr>
        <w:top w:val="none" w:sz="0" w:space="0" w:color="auto"/>
        <w:left w:val="none" w:sz="0" w:space="0" w:color="auto"/>
        <w:bottom w:val="none" w:sz="0" w:space="0" w:color="auto"/>
        <w:right w:val="none" w:sz="0" w:space="0" w:color="auto"/>
      </w:divBdr>
    </w:div>
    <w:div w:id="1110584076">
      <w:bodyDiv w:val="1"/>
      <w:marLeft w:val="0"/>
      <w:marRight w:val="0"/>
      <w:marTop w:val="0"/>
      <w:marBottom w:val="0"/>
      <w:divBdr>
        <w:top w:val="none" w:sz="0" w:space="0" w:color="auto"/>
        <w:left w:val="none" w:sz="0" w:space="0" w:color="auto"/>
        <w:bottom w:val="none" w:sz="0" w:space="0" w:color="auto"/>
        <w:right w:val="none" w:sz="0" w:space="0" w:color="auto"/>
      </w:divBdr>
    </w:div>
    <w:div w:id="1245608719">
      <w:bodyDiv w:val="1"/>
      <w:marLeft w:val="0"/>
      <w:marRight w:val="0"/>
      <w:marTop w:val="0"/>
      <w:marBottom w:val="0"/>
      <w:divBdr>
        <w:top w:val="none" w:sz="0" w:space="0" w:color="auto"/>
        <w:left w:val="none" w:sz="0" w:space="0" w:color="auto"/>
        <w:bottom w:val="none" w:sz="0" w:space="0" w:color="auto"/>
        <w:right w:val="none" w:sz="0" w:space="0" w:color="auto"/>
      </w:divBdr>
    </w:div>
    <w:div w:id="1253665161">
      <w:bodyDiv w:val="1"/>
      <w:marLeft w:val="0"/>
      <w:marRight w:val="0"/>
      <w:marTop w:val="0"/>
      <w:marBottom w:val="0"/>
      <w:divBdr>
        <w:top w:val="none" w:sz="0" w:space="0" w:color="auto"/>
        <w:left w:val="none" w:sz="0" w:space="0" w:color="auto"/>
        <w:bottom w:val="none" w:sz="0" w:space="0" w:color="auto"/>
        <w:right w:val="none" w:sz="0" w:space="0" w:color="auto"/>
      </w:divBdr>
    </w:div>
    <w:div w:id="1350837128">
      <w:bodyDiv w:val="1"/>
      <w:marLeft w:val="0"/>
      <w:marRight w:val="0"/>
      <w:marTop w:val="0"/>
      <w:marBottom w:val="0"/>
      <w:divBdr>
        <w:top w:val="none" w:sz="0" w:space="0" w:color="auto"/>
        <w:left w:val="none" w:sz="0" w:space="0" w:color="auto"/>
        <w:bottom w:val="none" w:sz="0" w:space="0" w:color="auto"/>
        <w:right w:val="none" w:sz="0" w:space="0" w:color="auto"/>
      </w:divBdr>
    </w:div>
    <w:div w:id="1363243536">
      <w:bodyDiv w:val="1"/>
      <w:marLeft w:val="0"/>
      <w:marRight w:val="0"/>
      <w:marTop w:val="0"/>
      <w:marBottom w:val="0"/>
      <w:divBdr>
        <w:top w:val="none" w:sz="0" w:space="0" w:color="auto"/>
        <w:left w:val="none" w:sz="0" w:space="0" w:color="auto"/>
        <w:bottom w:val="none" w:sz="0" w:space="0" w:color="auto"/>
        <w:right w:val="none" w:sz="0" w:space="0" w:color="auto"/>
      </w:divBdr>
    </w:div>
    <w:div w:id="1367834322">
      <w:bodyDiv w:val="1"/>
      <w:marLeft w:val="0"/>
      <w:marRight w:val="0"/>
      <w:marTop w:val="0"/>
      <w:marBottom w:val="0"/>
      <w:divBdr>
        <w:top w:val="none" w:sz="0" w:space="0" w:color="auto"/>
        <w:left w:val="none" w:sz="0" w:space="0" w:color="auto"/>
        <w:bottom w:val="none" w:sz="0" w:space="0" w:color="auto"/>
        <w:right w:val="none" w:sz="0" w:space="0" w:color="auto"/>
      </w:divBdr>
    </w:div>
    <w:div w:id="1439986792">
      <w:bodyDiv w:val="1"/>
      <w:marLeft w:val="0"/>
      <w:marRight w:val="0"/>
      <w:marTop w:val="0"/>
      <w:marBottom w:val="0"/>
      <w:divBdr>
        <w:top w:val="none" w:sz="0" w:space="0" w:color="auto"/>
        <w:left w:val="none" w:sz="0" w:space="0" w:color="auto"/>
        <w:bottom w:val="none" w:sz="0" w:space="0" w:color="auto"/>
        <w:right w:val="none" w:sz="0" w:space="0" w:color="auto"/>
      </w:divBdr>
    </w:div>
    <w:div w:id="1450323313">
      <w:bodyDiv w:val="1"/>
      <w:marLeft w:val="0"/>
      <w:marRight w:val="0"/>
      <w:marTop w:val="0"/>
      <w:marBottom w:val="0"/>
      <w:divBdr>
        <w:top w:val="none" w:sz="0" w:space="0" w:color="auto"/>
        <w:left w:val="none" w:sz="0" w:space="0" w:color="auto"/>
        <w:bottom w:val="none" w:sz="0" w:space="0" w:color="auto"/>
        <w:right w:val="none" w:sz="0" w:space="0" w:color="auto"/>
      </w:divBdr>
    </w:div>
    <w:div w:id="1457792752">
      <w:bodyDiv w:val="1"/>
      <w:marLeft w:val="0"/>
      <w:marRight w:val="0"/>
      <w:marTop w:val="0"/>
      <w:marBottom w:val="0"/>
      <w:divBdr>
        <w:top w:val="none" w:sz="0" w:space="0" w:color="auto"/>
        <w:left w:val="none" w:sz="0" w:space="0" w:color="auto"/>
        <w:bottom w:val="none" w:sz="0" w:space="0" w:color="auto"/>
        <w:right w:val="none" w:sz="0" w:space="0" w:color="auto"/>
      </w:divBdr>
      <w:divsChild>
        <w:div w:id="780420672">
          <w:marLeft w:val="0"/>
          <w:marRight w:val="0"/>
          <w:marTop w:val="0"/>
          <w:marBottom w:val="0"/>
          <w:divBdr>
            <w:top w:val="none" w:sz="0" w:space="0" w:color="auto"/>
            <w:left w:val="none" w:sz="0" w:space="0" w:color="auto"/>
            <w:bottom w:val="none" w:sz="0" w:space="0" w:color="auto"/>
            <w:right w:val="none" w:sz="0" w:space="0" w:color="auto"/>
          </w:divBdr>
        </w:div>
      </w:divsChild>
    </w:div>
    <w:div w:id="1678388423">
      <w:bodyDiv w:val="1"/>
      <w:marLeft w:val="0"/>
      <w:marRight w:val="0"/>
      <w:marTop w:val="0"/>
      <w:marBottom w:val="0"/>
      <w:divBdr>
        <w:top w:val="none" w:sz="0" w:space="0" w:color="auto"/>
        <w:left w:val="none" w:sz="0" w:space="0" w:color="auto"/>
        <w:bottom w:val="none" w:sz="0" w:space="0" w:color="auto"/>
        <w:right w:val="none" w:sz="0" w:space="0" w:color="auto"/>
      </w:divBdr>
    </w:div>
    <w:div w:id="1692797494">
      <w:bodyDiv w:val="1"/>
      <w:marLeft w:val="0"/>
      <w:marRight w:val="0"/>
      <w:marTop w:val="0"/>
      <w:marBottom w:val="0"/>
      <w:divBdr>
        <w:top w:val="none" w:sz="0" w:space="0" w:color="auto"/>
        <w:left w:val="none" w:sz="0" w:space="0" w:color="auto"/>
        <w:bottom w:val="none" w:sz="0" w:space="0" w:color="auto"/>
        <w:right w:val="none" w:sz="0" w:space="0" w:color="auto"/>
      </w:divBdr>
    </w:div>
    <w:div w:id="1772892751">
      <w:bodyDiv w:val="1"/>
      <w:marLeft w:val="0"/>
      <w:marRight w:val="0"/>
      <w:marTop w:val="0"/>
      <w:marBottom w:val="0"/>
      <w:divBdr>
        <w:top w:val="none" w:sz="0" w:space="0" w:color="auto"/>
        <w:left w:val="none" w:sz="0" w:space="0" w:color="auto"/>
        <w:bottom w:val="none" w:sz="0" w:space="0" w:color="auto"/>
        <w:right w:val="none" w:sz="0" w:space="0" w:color="auto"/>
      </w:divBdr>
    </w:div>
    <w:div w:id="1840074340">
      <w:bodyDiv w:val="1"/>
      <w:marLeft w:val="0"/>
      <w:marRight w:val="0"/>
      <w:marTop w:val="0"/>
      <w:marBottom w:val="0"/>
      <w:divBdr>
        <w:top w:val="none" w:sz="0" w:space="0" w:color="auto"/>
        <w:left w:val="none" w:sz="0" w:space="0" w:color="auto"/>
        <w:bottom w:val="none" w:sz="0" w:space="0" w:color="auto"/>
        <w:right w:val="none" w:sz="0" w:space="0" w:color="auto"/>
      </w:divBdr>
    </w:div>
    <w:div w:id="1882982821">
      <w:bodyDiv w:val="1"/>
      <w:marLeft w:val="0"/>
      <w:marRight w:val="0"/>
      <w:marTop w:val="0"/>
      <w:marBottom w:val="0"/>
      <w:divBdr>
        <w:top w:val="none" w:sz="0" w:space="0" w:color="auto"/>
        <w:left w:val="none" w:sz="0" w:space="0" w:color="auto"/>
        <w:bottom w:val="none" w:sz="0" w:space="0" w:color="auto"/>
        <w:right w:val="none" w:sz="0" w:space="0" w:color="auto"/>
      </w:divBdr>
    </w:div>
    <w:div w:id="19717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nt.gov.uk/about-the-council/information-and-data/Facts-and-figures-about-Kent/area-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about-the-council/strategies-and-policies/corporate-policies/increasing-opportunities-improving-outco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__data/assets/pdf_file/0003/66990/Kent-Commissioning-Plan-for-Education-Provision-2018-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842E-83BB-4987-BB1A-5F4AF263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CUSTOMER IMPACT ASSESSMENT REPORT TEMPLATE</vt:lpstr>
    </vt:vector>
  </TitlesOfParts>
  <Company>Kent County Council</Company>
  <LinksUpToDate>false</LinksUpToDate>
  <CharactersWithSpaces>7800</CharactersWithSpaces>
  <SharedDoc>false</SharedDoc>
  <HLinks>
    <vt:vector size="18" baseType="variant">
      <vt:variant>
        <vt:i4>6225928</vt:i4>
      </vt:variant>
      <vt:variant>
        <vt:i4>6</vt:i4>
      </vt:variant>
      <vt:variant>
        <vt:i4>0</vt:i4>
      </vt:variant>
      <vt:variant>
        <vt:i4>5</vt:i4>
      </vt:variant>
      <vt:variant>
        <vt:lpwstr>http://www.kent.gov.uk/about-the-council/information-and-data/Facts-and-figures-about-Kent/area-profiles</vt:lpwstr>
      </vt:variant>
      <vt:variant>
        <vt:lpwstr/>
      </vt:variant>
      <vt:variant>
        <vt:i4>6488183</vt:i4>
      </vt:variant>
      <vt:variant>
        <vt:i4>3</vt:i4>
      </vt:variant>
      <vt:variant>
        <vt:i4>0</vt:i4>
      </vt:variant>
      <vt:variant>
        <vt:i4>5</vt:i4>
      </vt:variant>
      <vt:variant>
        <vt:lpwstr>http://www.kent.gov.uk/about-the-council/strategies-and-policies/corporate-policies/increasing-opportunities-improving-outcomes</vt:lpwstr>
      </vt:variant>
      <vt:variant>
        <vt:lpwstr/>
      </vt:variant>
      <vt:variant>
        <vt:i4>2490442</vt:i4>
      </vt:variant>
      <vt:variant>
        <vt:i4>0</vt:i4>
      </vt:variant>
      <vt:variant>
        <vt:i4>0</vt:i4>
      </vt:variant>
      <vt:variant>
        <vt:i4>5</vt:i4>
      </vt:variant>
      <vt:variant>
        <vt:lpwstr>http://www.kent.gov.uk/__data/assets/pdf_file/0003/66990/Kent-Commissioning-Plan-for-Education-Provision-2018-22.pdf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IMPACT ASSESSMENT REPORT TEMPLATE</dc:title>
  <dc:subject/>
  <dc:creator>KCC</dc:creator>
  <cp:keywords/>
  <cp:lastModifiedBy>Wood J</cp:lastModifiedBy>
  <cp:revision>2</cp:revision>
  <cp:lastPrinted>2017-10-05T11:22:00Z</cp:lastPrinted>
  <dcterms:created xsi:type="dcterms:W3CDTF">2018-02-26T07:53:00Z</dcterms:created>
  <dcterms:modified xsi:type="dcterms:W3CDTF">2018-02-26T07:53:00Z</dcterms:modified>
</cp:coreProperties>
</file>